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eastAsia="宋体"/>
          <w:lang w:eastAsia="zh-CN"/>
        </w:rPr>
      </w:pPr>
      <w:r>
        <w:rPr>
          <w:rFonts w:hint="eastAsia" w:eastAsia="宋体"/>
          <w:b/>
          <w:bCs/>
          <w:sz w:val="36"/>
          <w:szCs w:val="36"/>
          <w:lang w:eastAsia="zh-CN"/>
        </w:rPr>
        <w:t>门诊口腔科监控</w:t>
      </w:r>
      <w:r>
        <w:rPr>
          <w:rFonts w:hint="eastAsia" w:eastAsia="宋体"/>
          <w:b/>
          <w:bCs/>
          <w:sz w:val="36"/>
          <w:szCs w:val="36"/>
          <w:lang w:val="en-US" w:eastAsia="zh-CN"/>
        </w:rPr>
        <w:t>改造</w:t>
      </w:r>
      <w:r>
        <w:rPr>
          <w:rFonts w:hint="eastAsia" w:eastAsia="宋体"/>
          <w:b/>
          <w:bCs/>
          <w:sz w:val="36"/>
          <w:szCs w:val="36"/>
          <w:lang w:eastAsia="zh-CN"/>
        </w:rPr>
        <w:t>项目客户需求书</w:t>
      </w:r>
    </w:p>
    <w:p>
      <w:pPr>
        <w:pStyle w:val="12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一、项目背景</w:t>
      </w:r>
    </w:p>
    <w:p>
      <w:pPr>
        <w:widowControl w:val="0"/>
        <w:snapToGrid w:val="0"/>
        <w:ind w:firstLine="480" w:firstLineChars="200"/>
        <w:rPr>
          <w:rFonts w:eastAsiaTheme="minorEastAsia"/>
          <w:lang w:eastAsia="zh-CN"/>
        </w:rPr>
      </w:pPr>
      <w:r>
        <w:rPr>
          <w:rFonts w:hint="eastAsia" w:ascii="宋体" w:hAnsi="宋体" w:eastAsia="宋体"/>
          <w:lang w:eastAsia="zh-CN"/>
        </w:rPr>
        <w:t>因口腔科设备设施及耗材物品</w:t>
      </w:r>
      <w:r>
        <w:rPr>
          <w:rFonts w:hint="eastAsia" w:ascii="宋体" w:hAnsi="宋体" w:eastAsia="宋体"/>
          <w:lang w:val="en-US" w:eastAsia="zh-CN"/>
        </w:rPr>
        <w:t>价值较高</w:t>
      </w:r>
      <w:r>
        <w:rPr>
          <w:rFonts w:hint="eastAsia" w:ascii="宋体" w:hAnsi="宋体" w:eastAsia="宋体"/>
          <w:lang w:eastAsia="zh-CN"/>
        </w:rPr>
        <w:t>，为防止口腔科内物品丢失及保护物资安全</w:t>
      </w:r>
      <w:r>
        <w:rPr>
          <w:lang w:eastAsia="zh-CN"/>
        </w:rPr>
        <w:t>，特</w:t>
      </w:r>
      <w:r>
        <w:rPr>
          <w:rFonts w:hint="eastAsia" w:ascii="宋体" w:hAnsi="宋体" w:eastAsia="宋体"/>
          <w:lang w:eastAsia="zh-CN"/>
        </w:rPr>
        <w:t>申请</w:t>
      </w:r>
      <w:r>
        <w:rPr>
          <w:rFonts w:hint="eastAsia" w:ascii="宋体" w:hAnsi="宋体" w:eastAsia="宋体"/>
          <w:lang w:val="en-US" w:eastAsia="zh-CN"/>
        </w:rPr>
        <w:t>改造</w:t>
      </w:r>
      <w:r>
        <w:rPr>
          <w:rFonts w:hint="eastAsia" w:ascii="宋体" w:hAnsi="宋体" w:eastAsia="宋体"/>
          <w:lang w:eastAsia="zh-CN"/>
        </w:rPr>
        <w:t>口腔科</w:t>
      </w:r>
      <w:r>
        <w:rPr>
          <w:rFonts w:hint="eastAsia" w:ascii="宋体" w:hAnsi="宋体" w:eastAsia="宋体"/>
          <w:lang w:val="en-US" w:eastAsia="zh-CN"/>
        </w:rPr>
        <w:t>现有监控系统，在口腔科</w:t>
      </w:r>
      <w:r>
        <w:rPr>
          <w:rFonts w:hint="eastAsia" w:ascii="宋体" w:hAnsi="宋体" w:eastAsia="宋体"/>
          <w:lang w:eastAsia="zh-CN"/>
        </w:rPr>
        <w:t>种植手术</w:t>
      </w:r>
      <w:r>
        <w:rPr>
          <w:rFonts w:hint="eastAsia" w:ascii="宋体" w:hAnsi="宋体" w:eastAsia="宋体"/>
          <w:lang w:val="en-US" w:eastAsia="zh-CN"/>
        </w:rPr>
        <w:t>间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  <w:lang w:val="en-US" w:eastAsia="zh-CN"/>
        </w:rPr>
        <w:t>种植清洗间、种植无菌物品存放间、植体存放间等位置设置</w:t>
      </w:r>
      <w:bookmarkStart w:id="0" w:name="_GoBack"/>
      <w:bookmarkEnd w:id="0"/>
      <w:r>
        <w:rPr>
          <w:rFonts w:hint="eastAsia" w:ascii="宋体" w:hAnsi="宋体" w:eastAsia="宋体"/>
          <w:lang w:val="en-US" w:eastAsia="zh-CN"/>
        </w:rPr>
        <w:t>监控设备，汇入医院监控系统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pStyle w:val="12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二、安装目标</w:t>
      </w:r>
    </w:p>
    <w:p>
      <w:pPr>
        <w:widowControl w:val="0"/>
        <w:snapToGrid w:val="0"/>
        <w:rPr>
          <w:lang w:eastAsia="zh-CN"/>
        </w:rPr>
      </w:pPr>
      <w:r>
        <w:rPr>
          <w:lang w:eastAsia="zh-CN"/>
        </w:rPr>
        <w:t>1</w:t>
      </w:r>
      <w:r>
        <w:rPr>
          <w:rFonts w:hint="eastAsia" w:ascii="宋体" w:hAnsi="宋体" w:eastAsia="宋体"/>
          <w:lang w:eastAsia="zh-CN"/>
        </w:rPr>
        <w:t>、</w:t>
      </w:r>
      <w:r>
        <w:rPr>
          <w:lang w:eastAsia="zh-CN"/>
        </w:rPr>
        <w:t>监控系统：</w:t>
      </w:r>
      <w:r>
        <w:rPr>
          <w:rFonts w:hint="eastAsia" w:ascii="宋体" w:hAnsi="宋体" w:eastAsia="宋体"/>
          <w:lang w:eastAsia="zh-CN"/>
        </w:rPr>
        <w:t>在口腔科四个房间内</w:t>
      </w:r>
      <w:r>
        <w:rPr>
          <w:lang w:eastAsia="zh-CN"/>
        </w:rPr>
        <w:t>安装高清网络摄像头，保证24小时监控无死角。监控画面实时传输至中心监控室。</w:t>
      </w:r>
    </w:p>
    <w:p>
      <w:pPr>
        <w:widowControl w:val="0"/>
        <w:snapToGrid w:val="0"/>
        <w:rPr>
          <w:lang w:eastAsia="zh-CN"/>
        </w:rPr>
      </w:pPr>
      <w:r>
        <w:rPr>
          <w:lang w:eastAsia="zh-CN"/>
        </w:rPr>
        <w:t>2、线路铺设：依据</w:t>
      </w:r>
      <w:r>
        <w:rPr>
          <w:rFonts w:hint="eastAsia" w:ascii="宋体" w:hAnsi="宋体" w:eastAsia="宋体"/>
          <w:lang w:eastAsia="zh-CN"/>
        </w:rPr>
        <w:t>现场</w:t>
      </w:r>
      <w:r>
        <w:rPr>
          <w:lang w:eastAsia="zh-CN"/>
        </w:rPr>
        <w:t>布局，合理规划电源线和数据线走向，采用暗线铺设方式，保持环境整洁美观，同时确保线路安全稳定。</w:t>
      </w:r>
    </w:p>
    <w:p>
      <w:pPr>
        <w:widowControl w:val="0"/>
        <w:snapToGrid w:val="0"/>
        <w:spacing w:line="480" w:lineRule="exact"/>
        <w:rPr>
          <w:lang w:eastAsia="zh-CN"/>
        </w:rPr>
      </w:pPr>
      <w:r>
        <w:rPr>
          <w:lang w:eastAsia="zh-CN"/>
        </w:rPr>
        <w:t>3、设备安装：摄像头安装在能覆盖关键区域的高处，避免遮挡。安装完成后进行调试，确保设备正常运行。</w:t>
      </w:r>
    </w:p>
    <w:p>
      <w:pPr>
        <w:widowControl w:val="0"/>
        <w:snapToGrid w:val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三、项目控制价为</w:t>
      </w:r>
      <w:r>
        <w:rPr>
          <w:lang w:eastAsia="zh-CN"/>
        </w:rPr>
        <w:t>4000</w:t>
      </w:r>
      <w:r>
        <w:rPr>
          <w:rFonts w:hint="eastAsia" w:ascii="宋体" w:hAnsi="宋体" w:eastAsia="宋体"/>
          <w:lang w:eastAsia="zh-CN"/>
        </w:rPr>
        <w:t>元，以实际中标价为准，投标时附产品参数介绍，不承诺最低价中标，请充分考察现场考虑各种不利因素。</w:t>
      </w:r>
    </w:p>
    <w:p>
      <w:pPr>
        <w:widowControl w:val="0"/>
        <w:snapToGrid w:val="0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四、施工前需到物业公司完成报备手续，施工垃圾自行外运。</w:t>
      </w:r>
    </w:p>
    <w:p>
      <w:pPr>
        <w:widowControl w:val="0"/>
        <w:snapToGrid w:val="0"/>
        <w:rPr>
          <w:lang w:eastAsia="zh-CN"/>
        </w:rPr>
      </w:pPr>
      <w:r>
        <w:rPr>
          <w:rFonts w:hint="eastAsia" w:ascii="宋体" w:hAnsi="宋体" w:eastAsia="宋体"/>
          <w:lang w:eastAsia="zh-CN"/>
        </w:rPr>
        <w:t>五</w:t>
      </w:r>
      <w:r>
        <w:rPr>
          <w:rFonts w:hint="eastAsia"/>
          <w:lang w:eastAsia="zh-CN"/>
        </w:rPr>
        <w:t>、投标人须具备独立的法人营业资格。</w:t>
      </w:r>
    </w:p>
    <w:p>
      <w:pPr>
        <w:widowControl w:val="0"/>
        <w:snapToGrid w:val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六、工期要求：接到中标通知后</w:t>
      </w:r>
      <w:r>
        <w:rPr>
          <w:lang w:eastAsia="zh-CN"/>
        </w:rPr>
        <w:t>10</w:t>
      </w:r>
      <w:r>
        <w:rPr>
          <w:rFonts w:hint="eastAsia" w:ascii="宋体" w:hAnsi="宋体" w:eastAsia="宋体"/>
          <w:lang w:eastAsia="zh-CN"/>
        </w:rPr>
        <w:t>个日历日，产品质保期：</w:t>
      </w:r>
      <w:r>
        <w:rPr>
          <w:rFonts w:hint="eastAsia"/>
          <w:lang w:eastAsia="zh-CN"/>
        </w:rPr>
        <w:t>2</w:t>
      </w:r>
      <w:r>
        <w:rPr>
          <w:rFonts w:hint="eastAsia" w:ascii="宋体" w:hAnsi="宋体" w:eastAsia="宋体"/>
          <w:lang w:eastAsia="zh-CN"/>
        </w:rPr>
        <w:t>年。</w:t>
      </w:r>
    </w:p>
    <w:tbl>
      <w:tblPr>
        <w:tblStyle w:val="20"/>
        <w:tblpPr w:leftFromText="180" w:rightFromText="180" w:vertAnchor="text" w:horzAnchor="page" w:tblpX="1905" w:tblpY="20"/>
        <w:tblOverlap w:val="never"/>
        <w:tblW w:w="8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465"/>
        <w:gridCol w:w="1790"/>
        <w:gridCol w:w="870"/>
        <w:gridCol w:w="780"/>
        <w:gridCol w:w="765"/>
        <w:gridCol w:w="1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Style w:val="72"/>
                <w:rFonts w:hint="default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产品名称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型号规格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单价/元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合计/元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高清网络摄像机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  <w:lang w:eastAsia="zh-CN" w:bidi="ar"/>
              </w:rPr>
              <w:t>4</w:t>
            </w: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接入已有监控系统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网线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lang w:eastAsia="zh-CN"/>
              </w:rPr>
              <w:t>80</w:t>
            </w:r>
            <w:r>
              <w:rPr>
                <w:rFonts w:hint="eastAsia" w:ascii="宋体" w:hAnsi="宋体" w:eastAsia="宋体"/>
                <w:color w:val="000000"/>
                <w:lang w:eastAsia="zh-CN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（以实际使用数量计算）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穿线管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  <w:lang w:eastAsia="zh-CN" w:bidi="ar"/>
              </w:rPr>
              <w:t>90</w:t>
            </w: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（以实际使用数量计算）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lang w:eastAsia="zh-CN" w:bidi="ar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P</w:t>
            </w:r>
            <w:r>
              <w:rPr>
                <w:rFonts w:ascii="宋体" w:hAnsi="宋体" w:eastAsia="宋体"/>
                <w:color w:val="000000"/>
                <w:lang w:eastAsia="zh-CN" w:bidi="ar"/>
              </w:rPr>
              <w:t>OE</w:t>
            </w: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交换机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lang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lang w:eastAsia="zh-CN" w:bidi="ar"/>
              </w:rPr>
            </w:pPr>
            <w:r>
              <w:rPr>
                <w:rFonts w:ascii="宋体" w:hAnsi="宋体" w:eastAsia="宋体"/>
                <w:color w:val="000000"/>
                <w:lang w:eastAsia="zh-CN" w:bidi="ar"/>
              </w:rPr>
              <w:t>1</w:t>
            </w: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lang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lang w:eastAsia="zh-CN" w:bidi="ar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 xml:space="preserve">                    </w:t>
            </w:r>
            <w:r>
              <w:rPr>
                <w:rStyle w:val="72"/>
                <w:rFonts w:hint="default"/>
                <w:sz w:val="24"/>
                <w:szCs w:val="24"/>
                <w:lang w:eastAsia="zh-CN" w:bidi="ar"/>
              </w:rPr>
              <w:t>合计：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备注：</w:t>
            </w: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1、综合单价为包含了人工费、</w:t>
            </w:r>
            <w:r>
              <w:rPr>
                <w:rFonts w:hint="eastAsia" w:ascii="宋体" w:hAnsi="宋体" w:eastAsia="宋体"/>
                <w:color w:val="000000"/>
                <w:lang w:val="en-US" w:eastAsia="zh-CN" w:bidi="ar"/>
              </w:rPr>
              <w:t>安装调试费、</w:t>
            </w: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材料费、机械费、脚手架、垂直运输、垃圾外运、成品保护费、安全文明施工费、规费、管理费、利润、税金等一切费用的综合全费用单价。</w:t>
            </w: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2、要求考察现场，充分考虑各种不利因素，不得以不了解现场为由提出任何变更申请。</w:t>
            </w: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3、售后响应时长：0.5小时内。出现重大问题，2小时内到达现场解决问题 。</w:t>
            </w:r>
          </w:p>
        </w:tc>
      </w:tr>
    </w:tbl>
    <w:p>
      <w:pPr>
        <w:rPr>
          <w:rFonts w:eastAsiaTheme="minorEastAsia"/>
          <w:lang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drawingGridHorizontalSpacing w:val="360"/>
  <w:drawingGridVerticalSpacing w:val="36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YzNlZDVmZWU5YzY0ZDNjMTYzMzJiMmRjMTFkNjQifQ=="/>
    <w:docVar w:name="KSO_WPS_MARK_KEY" w:val="aa3381bc-7b21-405d-b03c-d64cf2f9b256"/>
  </w:docVars>
  <w:rsids>
    <w:rsidRoot w:val="00652046"/>
    <w:rsid w:val="0005182D"/>
    <w:rsid w:val="00066166"/>
    <w:rsid w:val="00107238"/>
    <w:rsid w:val="001C1060"/>
    <w:rsid w:val="002B465E"/>
    <w:rsid w:val="002D08FA"/>
    <w:rsid w:val="00310661"/>
    <w:rsid w:val="003A0F21"/>
    <w:rsid w:val="003B58B4"/>
    <w:rsid w:val="00427BD9"/>
    <w:rsid w:val="00436DF6"/>
    <w:rsid w:val="00511307"/>
    <w:rsid w:val="005E1E1C"/>
    <w:rsid w:val="00652046"/>
    <w:rsid w:val="008C565E"/>
    <w:rsid w:val="00AD745C"/>
    <w:rsid w:val="00B326FF"/>
    <w:rsid w:val="00C43CC8"/>
    <w:rsid w:val="00C44065"/>
    <w:rsid w:val="00CD5861"/>
    <w:rsid w:val="00DC4448"/>
    <w:rsid w:val="00DC5082"/>
    <w:rsid w:val="00EB377F"/>
    <w:rsid w:val="00FC3614"/>
    <w:rsid w:val="020C2EC0"/>
    <w:rsid w:val="04C5285F"/>
    <w:rsid w:val="07AE036B"/>
    <w:rsid w:val="133B7B67"/>
    <w:rsid w:val="19B36D72"/>
    <w:rsid w:val="208C3BCE"/>
    <w:rsid w:val="26173321"/>
    <w:rsid w:val="276D2468"/>
    <w:rsid w:val="2E2B6A13"/>
    <w:rsid w:val="2F53280E"/>
    <w:rsid w:val="34E85274"/>
    <w:rsid w:val="35075CD2"/>
    <w:rsid w:val="35894098"/>
    <w:rsid w:val="3D162881"/>
    <w:rsid w:val="4A007E49"/>
    <w:rsid w:val="4E9D650B"/>
    <w:rsid w:val="59BD7A48"/>
    <w:rsid w:val="5CBD6CBE"/>
    <w:rsid w:val="76157299"/>
    <w:rsid w:val="77D5511A"/>
    <w:rsid w:val="796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qFormat="1" w:unhideWhenUsed="0" w:uiPriority="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0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qFormat="1" w:unhideWhenUsed="0" w:uiPriority="0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/>
    <w:lsdException w:unhideWhenUsed="0" w:uiPriority="99" w:semiHidden="0" w:name="Salutation"/>
    <w:lsdException w:qFormat="1" w:unhideWhenUsed="0" w:uiPriority="0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qFormat="1" w:unhideWhenUsed="0" w:uiPriority="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Calibri" w:hAnsi="Calibri" w:eastAsia="宋体"/>
      <w:b/>
      <w:bCs/>
      <w:color w:val="345B8A"/>
      <w:sz w:val="32"/>
      <w:szCs w:val="32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rFonts w:ascii="Calibri" w:hAnsi="Calibri" w:eastAsia="宋体"/>
      <w:b/>
      <w:bCs/>
      <w:color w:val="4F81BD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rFonts w:ascii="Calibri" w:hAnsi="Calibri" w:eastAsia="宋体"/>
      <w:b/>
      <w:bCs/>
      <w:color w:val="4F81BD"/>
      <w:sz w:val="28"/>
      <w:szCs w:val="28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rFonts w:ascii="Calibri" w:hAnsi="Calibri" w:eastAsia="宋体"/>
      <w:b/>
      <w:bCs/>
      <w:color w:val="4F81BD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rFonts w:ascii="Calibri" w:hAnsi="Calibri" w:eastAsia="宋体"/>
      <w:i/>
      <w:iCs/>
      <w:color w:val="4F81BD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rFonts w:ascii="Calibri" w:hAnsi="Calibri" w:eastAsia="宋体"/>
      <w:color w:val="4F81BD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rFonts w:ascii="Calibri" w:hAnsi="Calibri" w:eastAsia="宋体"/>
      <w:color w:val="4F81BD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rFonts w:ascii="Calibri" w:hAnsi="Calibri" w:eastAsia="宋体"/>
      <w:color w:val="4F81BD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rFonts w:ascii="Calibri" w:hAnsi="Calibri" w:eastAsia="宋体"/>
      <w:color w:val="4F81BD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after="120"/>
    </w:pPr>
    <w:rPr>
      <w:i/>
    </w:rPr>
  </w:style>
  <w:style w:type="paragraph" w:styleId="12">
    <w:name w:val="Body Text"/>
    <w:basedOn w:val="1"/>
    <w:link w:val="24"/>
    <w:qFormat/>
    <w:uiPriority w:val="0"/>
    <w:pPr>
      <w:spacing w:before="180" w:after="180"/>
    </w:pPr>
  </w:style>
  <w:style w:type="paragraph" w:styleId="13">
    <w:name w:val="Block Text"/>
    <w:basedOn w:val="12"/>
    <w:qFormat/>
    <w:uiPriority w:val="9"/>
    <w:pPr>
      <w:spacing w:before="100" w:after="100"/>
    </w:pPr>
    <w:rPr>
      <w:rFonts w:ascii="Calibri" w:hAnsi="Calibri" w:eastAsia="宋体"/>
      <w:bCs/>
      <w:sz w:val="20"/>
      <w:szCs w:val="20"/>
    </w:rPr>
  </w:style>
  <w:style w:type="paragraph" w:styleId="14">
    <w:name w:val="Date"/>
    <w:next w:val="1"/>
    <w:qFormat/>
    <w:uiPriority w:val="0"/>
    <w:pPr>
      <w:keepNext/>
      <w:keepLines/>
      <w:spacing w:after="200"/>
      <w:jc w:val="center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styleId="15">
    <w:name w:val="footer"/>
    <w:basedOn w:val="1"/>
    <w:link w:val="74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7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8"/>
    <w:qFormat/>
    <w:uiPriority w:val="0"/>
    <w:pPr>
      <w:spacing w:before="240"/>
    </w:pPr>
    <w:rPr>
      <w:sz w:val="30"/>
      <w:szCs w:val="30"/>
    </w:rPr>
  </w:style>
  <w:style w:type="paragraph" w:styleId="18">
    <w:name w:val="Title"/>
    <w:basedOn w:val="1"/>
    <w:qFormat/>
    <w:uiPriority w:val="0"/>
    <w:pPr>
      <w:keepNext/>
      <w:keepLines/>
      <w:spacing w:before="480" w:after="240"/>
      <w:jc w:val="center"/>
    </w:pPr>
    <w:rPr>
      <w:rFonts w:ascii="Calibri" w:hAnsi="Calibri" w:eastAsia="宋体"/>
      <w:b/>
      <w:bCs/>
      <w:color w:val="345B8A"/>
      <w:sz w:val="36"/>
      <w:szCs w:val="36"/>
    </w:rPr>
  </w:style>
  <w:style w:type="paragraph" w:styleId="19">
    <w:name w:val="footnote text"/>
    <w:basedOn w:val="1"/>
    <w:qFormat/>
    <w:uiPriority w:val="9"/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basedOn w:val="24"/>
    <w:qFormat/>
    <w:uiPriority w:val="0"/>
    <w:rPr>
      <w:color w:val="4F81BD"/>
    </w:rPr>
  </w:style>
  <w:style w:type="character" w:customStyle="1" w:styleId="24">
    <w:name w:val="正文文本 字符"/>
    <w:basedOn w:val="22"/>
    <w:link w:val="12"/>
    <w:qFormat/>
    <w:uiPriority w:val="0"/>
  </w:style>
  <w:style w:type="character" w:styleId="25">
    <w:name w:val="footnote reference"/>
    <w:basedOn w:val="24"/>
    <w:qFormat/>
    <w:uiPriority w:val="0"/>
    <w:rPr>
      <w:vertAlign w:val="superscript"/>
    </w:rPr>
  </w:style>
  <w:style w:type="paragraph" w:customStyle="1" w:styleId="26">
    <w:name w:val="First Paragraph"/>
    <w:basedOn w:val="12"/>
    <w:qFormat/>
    <w:uiPriority w:val="0"/>
  </w:style>
  <w:style w:type="paragraph" w:customStyle="1" w:styleId="27">
    <w:name w:val="Compact"/>
    <w:basedOn w:val="12"/>
    <w:qFormat/>
    <w:uiPriority w:val="0"/>
    <w:pPr>
      <w:spacing w:before="36" w:after="36"/>
    </w:pPr>
  </w:style>
  <w:style w:type="paragraph" w:customStyle="1" w:styleId="28">
    <w:name w:val="Author"/>
    <w:qFormat/>
    <w:uiPriority w:val="0"/>
    <w:pPr>
      <w:keepNext/>
      <w:keepLines/>
      <w:spacing w:after="200"/>
      <w:jc w:val="center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customStyle="1" w:styleId="29">
    <w:name w:val="Abstract"/>
    <w:basedOn w:val="1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30">
    <w:name w:val="Bibliography_5172ca9e-b632-488b-a415-45c9b72e773a"/>
    <w:basedOn w:val="1"/>
    <w:qFormat/>
    <w:uiPriority w:val="0"/>
  </w:style>
  <w:style w:type="table" w:customStyle="1" w:styleId="31">
    <w:name w:val="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Definition Term"/>
    <w:basedOn w:val="1"/>
    <w:qFormat/>
    <w:uiPriority w:val="0"/>
    <w:pPr>
      <w:keepNext/>
      <w:keepLines/>
      <w:spacing w:after="0"/>
    </w:pPr>
    <w:rPr>
      <w:b/>
    </w:rPr>
  </w:style>
  <w:style w:type="paragraph" w:customStyle="1" w:styleId="33">
    <w:name w:val="Definition"/>
    <w:basedOn w:val="1"/>
    <w:qFormat/>
    <w:uiPriority w:val="0"/>
  </w:style>
  <w:style w:type="paragraph" w:customStyle="1" w:styleId="34">
    <w:name w:val="Table Caption"/>
    <w:basedOn w:val="11"/>
    <w:qFormat/>
    <w:uiPriority w:val="0"/>
    <w:pPr>
      <w:keepNext/>
    </w:pPr>
  </w:style>
  <w:style w:type="paragraph" w:customStyle="1" w:styleId="35">
    <w:name w:val="Image Caption"/>
    <w:basedOn w:val="11"/>
    <w:qFormat/>
    <w:uiPriority w:val="0"/>
  </w:style>
  <w:style w:type="paragraph" w:customStyle="1" w:styleId="36">
    <w:name w:val="Figure"/>
    <w:basedOn w:val="1"/>
    <w:qFormat/>
    <w:uiPriority w:val="0"/>
  </w:style>
  <w:style w:type="paragraph" w:customStyle="1" w:styleId="37">
    <w:name w:val="Captioned Figure"/>
    <w:basedOn w:val="36"/>
    <w:qFormat/>
    <w:uiPriority w:val="0"/>
    <w:pPr>
      <w:keepNext/>
    </w:pPr>
  </w:style>
  <w:style w:type="character" w:customStyle="1" w:styleId="38">
    <w:name w:val="Verbatim Char"/>
    <w:basedOn w:val="24"/>
    <w:link w:val="39"/>
    <w:qFormat/>
    <w:uiPriority w:val="0"/>
    <w:rPr>
      <w:rFonts w:ascii="Consolas" w:hAnsi="Consolas"/>
      <w:sz w:val="22"/>
    </w:rPr>
  </w:style>
  <w:style w:type="paragraph" w:customStyle="1" w:styleId="39">
    <w:name w:val="Source Code"/>
    <w:basedOn w:val="1"/>
    <w:link w:val="38"/>
    <w:qFormat/>
    <w:uiPriority w:val="0"/>
    <w:pPr>
      <w:wordWrap w:val="0"/>
    </w:pPr>
  </w:style>
  <w:style w:type="paragraph" w:customStyle="1" w:styleId="40">
    <w:name w:val="TOC Heading_8e4ae27b-cd70-4003-b997-04f0bb8be9d6"/>
    <w:basedOn w:val="2"/>
    <w:qFormat/>
    <w:uiPriority w:val="39"/>
    <w:pPr>
      <w:spacing w:before="240" w:line="259" w:lineRule="auto"/>
      <w:outlineLvl w:val="9"/>
    </w:pPr>
    <w:rPr>
      <w:b w:val="0"/>
      <w:bCs w:val="0"/>
      <w:color w:val="376092"/>
    </w:rPr>
  </w:style>
  <w:style w:type="character" w:customStyle="1" w:styleId="41">
    <w:name w:val="KeywordTok"/>
    <w:basedOn w:val="38"/>
    <w:qFormat/>
    <w:uiPriority w:val="0"/>
    <w:rPr>
      <w:rFonts w:ascii="Consolas" w:hAnsi="Consolas"/>
      <w:b/>
      <w:color w:val="007020"/>
      <w:sz w:val="22"/>
    </w:rPr>
  </w:style>
  <w:style w:type="character" w:customStyle="1" w:styleId="42">
    <w:name w:val="DataTypeTok"/>
    <w:basedOn w:val="38"/>
    <w:qFormat/>
    <w:uiPriority w:val="0"/>
    <w:rPr>
      <w:rFonts w:ascii="Consolas" w:hAnsi="Consolas"/>
      <w:color w:val="902000"/>
      <w:sz w:val="22"/>
    </w:rPr>
  </w:style>
  <w:style w:type="character" w:customStyle="1" w:styleId="43">
    <w:name w:val="DecValTok"/>
    <w:basedOn w:val="38"/>
    <w:qFormat/>
    <w:uiPriority w:val="0"/>
    <w:rPr>
      <w:rFonts w:ascii="Consolas" w:hAnsi="Consolas"/>
      <w:color w:val="40A070"/>
      <w:sz w:val="22"/>
    </w:rPr>
  </w:style>
  <w:style w:type="character" w:customStyle="1" w:styleId="44">
    <w:name w:val="BaseNTok"/>
    <w:basedOn w:val="38"/>
    <w:qFormat/>
    <w:uiPriority w:val="0"/>
    <w:rPr>
      <w:rFonts w:ascii="Consolas" w:hAnsi="Consolas"/>
      <w:color w:val="40A070"/>
      <w:sz w:val="22"/>
    </w:rPr>
  </w:style>
  <w:style w:type="character" w:customStyle="1" w:styleId="45">
    <w:name w:val="FloatTok"/>
    <w:basedOn w:val="38"/>
    <w:qFormat/>
    <w:uiPriority w:val="0"/>
    <w:rPr>
      <w:rFonts w:ascii="Consolas" w:hAnsi="Consolas"/>
      <w:color w:val="40A070"/>
      <w:sz w:val="22"/>
    </w:rPr>
  </w:style>
  <w:style w:type="character" w:customStyle="1" w:styleId="46">
    <w:name w:val="ConstantTok"/>
    <w:basedOn w:val="38"/>
    <w:qFormat/>
    <w:uiPriority w:val="0"/>
    <w:rPr>
      <w:rFonts w:ascii="Consolas" w:hAnsi="Consolas"/>
      <w:color w:val="880000"/>
      <w:sz w:val="22"/>
    </w:rPr>
  </w:style>
  <w:style w:type="character" w:customStyle="1" w:styleId="47">
    <w:name w:val="CharTok"/>
    <w:basedOn w:val="38"/>
    <w:qFormat/>
    <w:uiPriority w:val="0"/>
    <w:rPr>
      <w:rFonts w:ascii="Consolas" w:hAnsi="Consolas"/>
      <w:color w:val="4070A0"/>
      <w:sz w:val="22"/>
    </w:rPr>
  </w:style>
  <w:style w:type="character" w:customStyle="1" w:styleId="48">
    <w:name w:val="SpecialCharTok"/>
    <w:basedOn w:val="38"/>
    <w:qFormat/>
    <w:uiPriority w:val="0"/>
    <w:rPr>
      <w:rFonts w:ascii="Consolas" w:hAnsi="Consolas"/>
      <w:color w:val="4070A0"/>
      <w:sz w:val="22"/>
    </w:rPr>
  </w:style>
  <w:style w:type="character" w:customStyle="1" w:styleId="49">
    <w:name w:val="StringTok"/>
    <w:basedOn w:val="38"/>
    <w:qFormat/>
    <w:uiPriority w:val="0"/>
    <w:rPr>
      <w:rFonts w:ascii="Consolas" w:hAnsi="Consolas"/>
      <w:color w:val="4070A0"/>
      <w:sz w:val="22"/>
    </w:rPr>
  </w:style>
  <w:style w:type="character" w:customStyle="1" w:styleId="50">
    <w:name w:val="VerbatimStringTok"/>
    <w:basedOn w:val="38"/>
    <w:qFormat/>
    <w:uiPriority w:val="0"/>
    <w:rPr>
      <w:rFonts w:ascii="Consolas" w:hAnsi="Consolas"/>
      <w:color w:val="4070A0"/>
      <w:sz w:val="22"/>
    </w:rPr>
  </w:style>
  <w:style w:type="character" w:customStyle="1" w:styleId="51">
    <w:name w:val="SpecialStringTok"/>
    <w:basedOn w:val="38"/>
    <w:qFormat/>
    <w:uiPriority w:val="0"/>
    <w:rPr>
      <w:rFonts w:ascii="Consolas" w:hAnsi="Consolas"/>
      <w:color w:val="BB6688"/>
      <w:sz w:val="22"/>
    </w:rPr>
  </w:style>
  <w:style w:type="character" w:customStyle="1" w:styleId="52">
    <w:name w:val="ImportTok"/>
    <w:basedOn w:val="38"/>
    <w:qFormat/>
    <w:uiPriority w:val="0"/>
    <w:rPr>
      <w:rFonts w:ascii="Consolas" w:hAnsi="Consolas"/>
      <w:sz w:val="22"/>
    </w:rPr>
  </w:style>
  <w:style w:type="character" w:customStyle="1" w:styleId="53">
    <w:name w:val="CommentTok"/>
    <w:basedOn w:val="38"/>
    <w:qFormat/>
    <w:uiPriority w:val="0"/>
    <w:rPr>
      <w:rFonts w:ascii="Consolas" w:hAnsi="Consolas"/>
      <w:i/>
      <w:color w:val="60A0B0"/>
      <w:sz w:val="22"/>
    </w:rPr>
  </w:style>
  <w:style w:type="character" w:customStyle="1" w:styleId="54">
    <w:name w:val="DocumentationTok"/>
    <w:basedOn w:val="38"/>
    <w:qFormat/>
    <w:uiPriority w:val="0"/>
    <w:rPr>
      <w:rFonts w:ascii="Consolas" w:hAnsi="Consolas"/>
      <w:i/>
      <w:color w:val="BA2121"/>
      <w:sz w:val="22"/>
    </w:rPr>
  </w:style>
  <w:style w:type="character" w:customStyle="1" w:styleId="55">
    <w:name w:val="AnnotationTok"/>
    <w:basedOn w:val="38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6">
    <w:name w:val="CommentVarTok"/>
    <w:basedOn w:val="38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7">
    <w:name w:val="OtherTok"/>
    <w:basedOn w:val="38"/>
    <w:qFormat/>
    <w:uiPriority w:val="0"/>
    <w:rPr>
      <w:rFonts w:ascii="Consolas" w:hAnsi="Consolas"/>
      <w:color w:val="007020"/>
      <w:sz w:val="22"/>
    </w:rPr>
  </w:style>
  <w:style w:type="character" w:customStyle="1" w:styleId="58">
    <w:name w:val="FunctionTok"/>
    <w:basedOn w:val="38"/>
    <w:qFormat/>
    <w:uiPriority w:val="0"/>
    <w:rPr>
      <w:rFonts w:ascii="Consolas" w:hAnsi="Consolas"/>
      <w:color w:val="06287E"/>
      <w:sz w:val="22"/>
    </w:rPr>
  </w:style>
  <w:style w:type="character" w:customStyle="1" w:styleId="59">
    <w:name w:val="VariableTok"/>
    <w:basedOn w:val="38"/>
    <w:qFormat/>
    <w:uiPriority w:val="0"/>
    <w:rPr>
      <w:rFonts w:ascii="Consolas" w:hAnsi="Consolas"/>
      <w:color w:val="19177C"/>
      <w:sz w:val="22"/>
    </w:rPr>
  </w:style>
  <w:style w:type="character" w:customStyle="1" w:styleId="60">
    <w:name w:val="ControlFlowTok"/>
    <w:basedOn w:val="38"/>
    <w:qFormat/>
    <w:uiPriority w:val="0"/>
    <w:rPr>
      <w:rFonts w:ascii="Consolas" w:hAnsi="Consolas"/>
      <w:b/>
      <w:color w:val="007020"/>
      <w:sz w:val="22"/>
    </w:rPr>
  </w:style>
  <w:style w:type="character" w:customStyle="1" w:styleId="61">
    <w:name w:val="OperatorTok"/>
    <w:basedOn w:val="38"/>
    <w:qFormat/>
    <w:uiPriority w:val="0"/>
    <w:rPr>
      <w:rFonts w:ascii="Consolas" w:hAnsi="Consolas"/>
      <w:color w:val="666666"/>
      <w:sz w:val="22"/>
    </w:rPr>
  </w:style>
  <w:style w:type="character" w:customStyle="1" w:styleId="62">
    <w:name w:val="BuiltInTok"/>
    <w:basedOn w:val="38"/>
    <w:qFormat/>
    <w:uiPriority w:val="0"/>
    <w:rPr>
      <w:rFonts w:ascii="Consolas" w:hAnsi="Consolas"/>
      <w:sz w:val="22"/>
    </w:rPr>
  </w:style>
  <w:style w:type="character" w:customStyle="1" w:styleId="63">
    <w:name w:val="ExtensionTok"/>
    <w:basedOn w:val="38"/>
    <w:qFormat/>
    <w:uiPriority w:val="0"/>
    <w:rPr>
      <w:rFonts w:ascii="Consolas" w:hAnsi="Consolas"/>
      <w:sz w:val="22"/>
    </w:rPr>
  </w:style>
  <w:style w:type="character" w:customStyle="1" w:styleId="64">
    <w:name w:val="PreprocessorTok"/>
    <w:basedOn w:val="38"/>
    <w:qFormat/>
    <w:uiPriority w:val="0"/>
    <w:rPr>
      <w:rFonts w:ascii="Consolas" w:hAnsi="Consolas"/>
      <w:color w:val="BC7A00"/>
      <w:sz w:val="22"/>
    </w:rPr>
  </w:style>
  <w:style w:type="character" w:customStyle="1" w:styleId="65">
    <w:name w:val="AttributeTok"/>
    <w:basedOn w:val="38"/>
    <w:qFormat/>
    <w:uiPriority w:val="0"/>
    <w:rPr>
      <w:rFonts w:ascii="Consolas" w:hAnsi="Consolas"/>
      <w:color w:val="7D9029"/>
      <w:sz w:val="22"/>
    </w:rPr>
  </w:style>
  <w:style w:type="character" w:customStyle="1" w:styleId="66">
    <w:name w:val="RegionMarkerTok"/>
    <w:basedOn w:val="38"/>
    <w:qFormat/>
    <w:uiPriority w:val="0"/>
    <w:rPr>
      <w:rFonts w:ascii="Consolas" w:hAnsi="Consolas"/>
      <w:sz w:val="22"/>
    </w:rPr>
  </w:style>
  <w:style w:type="character" w:customStyle="1" w:styleId="67">
    <w:name w:val="InformationTok"/>
    <w:basedOn w:val="38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8">
    <w:name w:val="WarningTok"/>
    <w:basedOn w:val="38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9">
    <w:name w:val="AlertTok"/>
    <w:basedOn w:val="38"/>
    <w:qFormat/>
    <w:uiPriority w:val="0"/>
    <w:rPr>
      <w:rFonts w:ascii="Consolas" w:hAnsi="Consolas"/>
      <w:b/>
      <w:color w:val="FF0000"/>
      <w:sz w:val="22"/>
    </w:rPr>
  </w:style>
  <w:style w:type="character" w:customStyle="1" w:styleId="70">
    <w:name w:val="ErrorTok"/>
    <w:basedOn w:val="38"/>
    <w:qFormat/>
    <w:uiPriority w:val="0"/>
    <w:rPr>
      <w:rFonts w:ascii="Consolas" w:hAnsi="Consolas"/>
      <w:b/>
      <w:color w:val="FF0000"/>
      <w:sz w:val="22"/>
    </w:rPr>
  </w:style>
  <w:style w:type="character" w:customStyle="1" w:styleId="71">
    <w:name w:val="NormalTok"/>
    <w:basedOn w:val="38"/>
    <w:qFormat/>
    <w:uiPriority w:val="0"/>
    <w:rPr>
      <w:rFonts w:ascii="Consolas" w:hAnsi="Consolas"/>
      <w:sz w:val="22"/>
    </w:rPr>
  </w:style>
  <w:style w:type="character" w:customStyle="1" w:styleId="72">
    <w:name w:val="font11"/>
    <w:basedOn w:val="2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3">
    <w:name w:val="页眉 字符"/>
    <w:basedOn w:val="22"/>
    <w:link w:val="16"/>
    <w:uiPriority w:val="99"/>
    <w:rPr>
      <w:rFonts w:ascii="Cambria" w:hAnsi="Cambria" w:eastAsia="Cambria" w:cs="宋体"/>
      <w:sz w:val="18"/>
      <w:szCs w:val="18"/>
      <w:lang w:eastAsia="en-US"/>
    </w:rPr>
  </w:style>
  <w:style w:type="character" w:customStyle="1" w:styleId="74">
    <w:name w:val="页脚 字符"/>
    <w:basedOn w:val="22"/>
    <w:link w:val="15"/>
    <w:uiPriority w:val="99"/>
    <w:rPr>
      <w:rFonts w:ascii="Cambria" w:hAnsi="Cambria" w:eastAsia="Cambria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610</Characters>
  <Lines>5</Lines>
  <Paragraphs>1</Paragraphs>
  <TotalTime>118</TotalTime>
  <ScaleCrop>false</ScaleCrop>
  <LinksUpToDate>false</LinksUpToDate>
  <CharactersWithSpaces>715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2024-07-15T08:37:00Z</dcterms:created>
  <dc:creator>袁森</dc:creator>
  <cp:lastModifiedBy>风再起时</cp:lastModifiedBy>
  <cp:lastPrinted>2025-05-13T02:17:02Z</cp:lastPrinted>
  <dcterms:modified xsi:type="dcterms:W3CDTF">2025-05-13T02:17:42Z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2052-11.8.2.9022</vt:lpwstr>
  </property>
  <property fmtid="{D5CDD505-2E9C-101B-9397-08002B2CF9AE}" pid="4" name="ICV">
    <vt:lpwstr>C66C1575392E4A888D0ABBD75252D560</vt:lpwstr>
  </property>
  <property fmtid="{D5CDD505-2E9C-101B-9397-08002B2CF9AE}" pid="5" name="KSOTemplateDocerSaveRecord">
    <vt:lpwstr>eyJoZGlkIjoiYzE0MzVjN2RlMWM0NmI1YTA5YzQ3MTYxZjEwMjAyMDYiLCJ1c2VySWQiOiIyMDMzNDk0NjYifQ==</vt:lpwstr>
  </property>
</Properties>
</file>