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000915">
      <w:pPr>
        <w:pStyle w:val="12"/>
        <w:jc w:val="center"/>
        <w:rPr>
          <w:rFonts w:hint="eastAsia" w:eastAsia="宋体"/>
          <w:lang w:val="en-US" w:eastAsia="zh-CN"/>
        </w:rPr>
      </w:pPr>
      <w:r>
        <w:rPr>
          <w:rFonts w:hint="eastAsia" w:eastAsia="宋体" w:cs="宋体"/>
          <w:b/>
          <w:bCs/>
          <w:sz w:val="36"/>
          <w:szCs w:val="36"/>
          <w:lang w:val="en-US" w:eastAsia="zh-CN"/>
        </w:rPr>
        <w:t xml:space="preserve"> 消防设施设备维修更换项目客户</w:t>
      </w:r>
      <w:r>
        <w:rPr>
          <w:rFonts w:hint="eastAsia" w:eastAsia="宋体"/>
          <w:b/>
          <w:bCs/>
          <w:sz w:val="36"/>
          <w:szCs w:val="36"/>
          <w:lang w:val="en-US" w:eastAsia="zh-CN"/>
        </w:rPr>
        <w:t>需求书</w:t>
      </w:r>
    </w:p>
    <w:p w14:paraId="1E484A38">
      <w:pPr>
        <w:pStyle w:val="12"/>
        <w:numPr>
          <w:ilvl w:val="0"/>
          <w:numId w:val="1"/>
        </w:numPr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项目背景</w:t>
      </w:r>
    </w:p>
    <w:p w14:paraId="1BF2F96E">
      <w:pPr>
        <w:pStyle w:val="12"/>
        <w:numPr>
          <w:ilvl w:val="0"/>
          <w:numId w:val="0"/>
        </w:numPr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 xml:space="preserve">         为保障患者、医护人员的生命安全及医院正常医疗秩序，避免因消防设施故障引发重大安全事故及经济损失，亟需开展消防设施设备维修更换项目，筑牢医院消防安全防线。</w:t>
      </w:r>
    </w:p>
    <w:p w14:paraId="679C0A14">
      <w:pPr>
        <w:pStyle w:val="12"/>
        <w:numPr>
          <w:ilvl w:val="0"/>
          <w:numId w:val="1"/>
        </w:numPr>
        <w:ind w:left="0" w:leftChars="0" w:firstLine="0" w:firstLineChars="0"/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安装目标</w:t>
      </w:r>
    </w:p>
    <w:p w14:paraId="5A20C106">
      <w:pPr>
        <w:pStyle w:val="12"/>
        <w:numPr>
          <w:ilvl w:val="0"/>
          <w:numId w:val="2"/>
        </w:numPr>
        <w:ind w:left="475" w:leftChars="0" w:firstLine="0" w:firstLineChars="0"/>
        <w:rPr>
          <w:rFonts w:hint="eastAsia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消防风机拆修安全断电，做好防护，小心拆卸对不易拆卸的部件，使用润滑剂辅助拆卸，仔细检查拆修下来的部件，如有磨损拆修时及时更换，     安装完成后调试运行。</w:t>
      </w:r>
    </w:p>
    <w:p w14:paraId="50FC992D">
      <w:pPr>
        <w:pStyle w:val="12"/>
        <w:numPr>
          <w:ilvl w:val="0"/>
          <w:numId w:val="2"/>
        </w:numPr>
        <w:ind w:left="475" w:leftChars="0" w:firstLine="0" w:firstLineChars="0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应急照明控制箱电池安装应符合国家标准的应急电池。</w:t>
      </w:r>
    </w:p>
    <w:p w14:paraId="5E2DDB36">
      <w:pPr>
        <w:pStyle w:val="12"/>
        <w:numPr>
          <w:ilvl w:val="0"/>
          <w:numId w:val="2"/>
        </w:numPr>
        <w:ind w:left="475" w:leftChars="0" w:firstLine="0" w:firstLineChars="0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常开式闭门器安装后要确保门体在开启状态下保持固定，火灾或断电时，门体可在5秒内自动平稳关闭，保障防火分隔完整性。</w:t>
      </w:r>
    </w:p>
    <w:p w14:paraId="1FC17181">
      <w:pPr>
        <w:pStyle w:val="12"/>
        <w:numPr>
          <w:ilvl w:val="0"/>
          <w:numId w:val="2"/>
        </w:numPr>
        <w:ind w:left="475" w:leftChars="0" w:firstLine="0" w:firstLineChars="0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消防水炮巡检柜主板安装后，要确保巡检柜功能完整，运行稳定。</w:t>
      </w:r>
    </w:p>
    <w:p w14:paraId="02AE392A">
      <w:pPr>
        <w:pStyle w:val="12"/>
        <w:numPr>
          <w:ilvl w:val="0"/>
          <w:numId w:val="2"/>
        </w:numPr>
        <w:ind w:left="475" w:leftChars="0" w:firstLine="0" w:firstLineChars="0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减压阀更换安装要确保管网压力精准控制，系统安全稳定。</w:t>
      </w:r>
    </w:p>
    <w:p w14:paraId="208EBC62">
      <w:pPr>
        <w:pStyle w:val="12"/>
        <w:numPr>
          <w:ilvl w:val="0"/>
          <w:numId w:val="2"/>
        </w:numPr>
        <w:ind w:left="475" w:leftChars="0" w:firstLine="0" w:firstLineChars="0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蝶阀更换要保障密封性能，启闭功能正常。</w:t>
      </w:r>
    </w:p>
    <w:p w14:paraId="2A25F705">
      <w:pPr>
        <w:pStyle w:val="12"/>
        <w:numPr>
          <w:ilvl w:val="0"/>
          <w:numId w:val="2"/>
        </w:numPr>
        <w:ind w:left="475" w:leftChars="0" w:firstLine="0" w:firstLineChars="0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逃生窗温控器更换要保障安全可靠、应急功能正常。</w:t>
      </w:r>
    </w:p>
    <w:p w14:paraId="7003A8F1">
      <w:pPr>
        <w:pStyle w:val="12"/>
        <w:numPr>
          <w:ilvl w:val="0"/>
          <w:numId w:val="2"/>
        </w:numPr>
        <w:ind w:left="475" w:leftChars="0" w:firstLine="0" w:firstLineChars="0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灭火器采购符合国家消防产品标准。</w:t>
      </w:r>
    </w:p>
    <w:p w14:paraId="747C3C62">
      <w:pPr>
        <w:pStyle w:val="12"/>
        <w:numPr>
          <w:ilvl w:val="0"/>
          <w:numId w:val="2"/>
        </w:numPr>
        <w:ind w:left="475" w:leftChars="0" w:firstLine="0" w:firstLineChars="0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室内消火栓门锁锁扣稳定可靠。</w:t>
      </w:r>
    </w:p>
    <w:p w14:paraId="194B16A4">
      <w:pPr>
        <w:pStyle w:val="12"/>
        <w:numPr>
          <w:ilvl w:val="0"/>
          <w:numId w:val="0"/>
        </w:numPr>
        <w:ind w:left="475" w:leftChars="0"/>
        <w:rPr>
          <w:rFonts w:hint="default" w:eastAsia="宋体"/>
          <w:lang w:val="en-US" w:eastAsia="zh-CN"/>
        </w:rPr>
      </w:pPr>
      <w:r>
        <w:rPr>
          <w:rFonts w:hint="eastAsia" w:eastAsia="宋体"/>
          <w:lang w:val="en-US" w:eastAsia="zh-CN"/>
        </w:rPr>
        <w:t>以上更换的消防设施设备均要符合国家相关规范</w:t>
      </w:r>
    </w:p>
    <w:p w14:paraId="04C330E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cs="宋体"/>
          <w:sz w:val="24"/>
          <w:szCs w:val="24"/>
          <w:lang w:val="en-US" w:eastAsia="zh-CN"/>
        </w:rPr>
      </w:pPr>
      <w:r>
        <w:rPr>
          <w:rFonts w:hint="eastAsia" w:cs="宋体"/>
          <w:sz w:val="24"/>
          <w:szCs w:val="24"/>
          <w:lang w:val="en-US" w:eastAsia="zh-CN"/>
        </w:rPr>
        <w:t>三、项目控制价为13000元，以实际中标价为准，投标时附产品参数介绍，不承诺最低价中标，请充分考察现场考虑各种不利因素。</w:t>
      </w:r>
    </w:p>
    <w:p w14:paraId="2C0EB5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cs="宋体"/>
          <w:sz w:val="24"/>
          <w:szCs w:val="24"/>
          <w:lang w:val="en-US" w:eastAsia="zh-CN"/>
        </w:rPr>
      </w:pPr>
      <w:r>
        <w:rPr>
          <w:rFonts w:hint="eastAsia" w:cs="宋体"/>
          <w:sz w:val="24"/>
          <w:szCs w:val="24"/>
          <w:lang w:val="en-US" w:eastAsia="zh-CN"/>
        </w:rPr>
        <w:t>四、施工前需到物业公司完成报备手续，施工垃圾自行外运。</w:t>
      </w:r>
    </w:p>
    <w:p w14:paraId="137802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cs="宋体"/>
          <w:sz w:val="24"/>
          <w:szCs w:val="24"/>
          <w:lang w:val="en-US" w:eastAsia="zh-CN"/>
        </w:rPr>
      </w:pPr>
      <w:r>
        <w:rPr>
          <w:rFonts w:hint="eastAsia" w:cs="宋体"/>
          <w:sz w:val="24"/>
          <w:szCs w:val="24"/>
          <w:lang w:val="en-US" w:eastAsia="zh-CN"/>
        </w:rPr>
        <w:t>五、投标人须具备独立的法人营业资格。</w:t>
      </w:r>
    </w:p>
    <w:p w14:paraId="382AF7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/>
          <w:b/>
          <w:bCs/>
          <w:sz w:val="32"/>
          <w:szCs w:val="32"/>
          <w:lang w:val="en-US" w:eastAsia="zh-CN"/>
        </w:rPr>
      </w:pPr>
      <w:r>
        <w:rPr>
          <w:rFonts w:hint="eastAsia" w:cs="宋体"/>
          <w:sz w:val="24"/>
          <w:szCs w:val="24"/>
          <w:lang w:val="en-US" w:eastAsia="zh-CN"/>
        </w:rPr>
        <w:t>六、工期要求：接到中标通知后10个日历日，产品质保期：2年。</w:t>
      </w:r>
    </w:p>
    <w:p w14:paraId="2F21C27E">
      <w:pPr>
        <w:numPr>
          <w:ilvl w:val="0"/>
          <w:numId w:val="0"/>
        </w:numPr>
        <w:jc w:val="center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清单</w:t>
      </w:r>
    </w:p>
    <w:tbl>
      <w:tblPr>
        <w:tblStyle w:val="18"/>
        <w:tblpPr w:leftFromText="180" w:rightFromText="180" w:vertAnchor="text" w:horzAnchor="page" w:tblpX="1905" w:tblpY="20"/>
        <w:tblOverlap w:val="never"/>
        <w:tblW w:w="835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1"/>
        <w:gridCol w:w="1658"/>
        <w:gridCol w:w="1320"/>
        <w:gridCol w:w="1464"/>
        <w:gridCol w:w="888"/>
        <w:gridCol w:w="1068"/>
        <w:gridCol w:w="1186"/>
      </w:tblGrid>
      <w:tr w14:paraId="1D03A5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F2155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</w:t>
            </w:r>
            <w:r>
              <w:rPr>
                <w:rStyle w:val="7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01E2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86CD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型号规格</w:t>
            </w: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444D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886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单价/元</w:t>
            </w: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3569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合计/元</w:t>
            </w: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C683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 w14:paraId="58442E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AFE52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8DA4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消防风机拆修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8C7C3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BD9C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1台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DA3D5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57074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349CA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需现场查看</w:t>
            </w:r>
          </w:p>
        </w:tc>
      </w:tr>
      <w:tr w14:paraId="43B883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7424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CC35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应急照明控制箱电池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3F20FBF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12v120ah</w:t>
            </w: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8252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1个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B233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28D6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41BF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1F290B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4F6C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748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常开闭门器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8AF6ED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B395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21个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C66C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48B3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95026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需现场确认型号</w:t>
            </w:r>
          </w:p>
        </w:tc>
      </w:tr>
      <w:tr w14:paraId="56045B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0C5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7F1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消防水炮巡检柜主板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E58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5712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1块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6A98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2BB3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0299ED9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需现场确认型号</w:t>
            </w:r>
          </w:p>
        </w:tc>
      </w:tr>
      <w:tr w14:paraId="2FC164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1CE14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0D30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减压阀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2D35F2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DN150</w:t>
            </w: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FB970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1个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09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C92EE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4CA9BA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7B0736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C0E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563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手柄蝶阀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80E4D60">
            <w:pPr>
              <w:jc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DN100</w:t>
            </w: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D25C6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2个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11411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A7EA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BA7C8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59761C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5C11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31F95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逃生窗温控器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BA5AA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3104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2个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19B0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147C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C809F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需现场确认型号</w:t>
            </w:r>
          </w:p>
        </w:tc>
      </w:tr>
      <w:tr w14:paraId="6E4D2F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2D2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DC9A5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灭火器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04EAB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4公斤干粉灭火器</w:t>
            </w: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084F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30个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A44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9D17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DD597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 w14:paraId="2DF3C4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7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DB36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6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7B485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室内消火栓门锁锁扣</w:t>
            </w:r>
          </w:p>
        </w:tc>
        <w:tc>
          <w:tcPr>
            <w:tcW w:w="1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83CDB3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1CF5A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100个    </w:t>
            </w:r>
          </w:p>
        </w:tc>
        <w:tc>
          <w:tcPr>
            <w:tcW w:w="8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98C5D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F4E4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84F337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需现场确认尺寸</w:t>
            </w:r>
          </w:p>
        </w:tc>
      </w:tr>
      <w:tr w14:paraId="05FAD8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610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925BB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       </w:t>
            </w:r>
            <w:r>
              <w:rPr>
                <w:rStyle w:val="70"/>
                <w:sz w:val="24"/>
                <w:szCs w:val="24"/>
                <w:lang w:val="en-US" w:eastAsia="zh-CN" w:bidi="ar"/>
              </w:rPr>
              <w:t>合计：</w:t>
            </w:r>
          </w:p>
        </w:tc>
        <w:tc>
          <w:tcPr>
            <w:tcW w:w="10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4AD5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0E1B98C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3C312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3" w:hRule="atLeast"/>
        </w:trPr>
        <w:tc>
          <w:tcPr>
            <w:tcW w:w="835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AA398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1、综合单价为包含了人工费、材料费、机械费、脚手架、垂直运输、垃圾外运、成品保护费、安全文明施工费、规费、管理费、利润、税金等一切费用的综合全费用单价。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2、满足使用需求更换维修后正常使用，要求考察现场，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要求考察现场，充分考虑各种不利因素，不得以不了解现场为由提出任何变更申请。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3、售后响应时长：0.5小时内。出现重大问题，2小时内到达现场解决问题 。</w:t>
            </w:r>
          </w:p>
        </w:tc>
      </w:tr>
    </w:tbl>
    <w:p w14:paraId="5CF9B83A">
      <w:pPr>
        <w:pStyle w:val="12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720" w:footer="720" w:gutter="0"/>
      <w:cols w:space="720" w:num="1"/>
      <w:docGrid w:linePitch="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86"/>
    <w:family w:val="auto"/>
    <w:pitch w:val="default"/>
    <w:sig w:usb0="E00006FF" w:usb1="420024FF" w:usb2="02000000" w:usb3="00000000" w:csb0="2000019F" w:csb1="00000000"/>
  </w:font>
  <w:font w:name="Consolas">
    <w:panose1 w:val="020B0609020204030204"/>
    <w:charset w:val="00"/>
    <w:family w:val="auto"/>
    <w:pitch w:val="default"/>
    <w:sig w:usb0="E00006FF" w:usb1="0000FCFF" w:usb2="00000001" w:usb3="00000000" w:csb0="6000019F" w:csb1="DFD7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B8549F1"/>
    <w:multiLevelType w:val="singleLevel"/>
    <w:tmpl w:val="DB8549F1"/>
    <w:lvl w:ilvl="0" w:tentative="0">
      <w:start w:val="1"/>
      <w:numFmt w:val="decimal"/>
      <w:suff w:val="nothing"/>
      <w:lvlText w:val="%1、"/>
      <w:lvlJc w:val="left"/>
      <w:pPr>
        <w:ind w:left="475" w:leftChars="0" w:firstLine="0" w:firstLineChars="0"/>
      </w:pPr>
    </w:lvl>
  </w:abstractNum>
  <w:abstractNum w:abstractNumId="1">
    <w:nsid w:val="143E01D5"/>
    <w:multiLevelType w:val="singleLevel"/>
    <w:tmpl w:val="143E01D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720"/>
  <w:drawingGridHorizontalSpacing w:val="360"/>
  <w:drawingGridVerticalSpacing w:val="360"/>
  <w:displayHorizontalDrawingGridEvery w:val="1"/>
  <w:displayVerticalDrawingGridEvery w:val="1"/>
  <w:characterSpacingControl w:val="doNotCompress"/>
  <w:footnotePr>
    <w:footnote w:id="0"/>
    <w:footnote w:id="1"/>
  </w:foot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ZkYzNlZDVmZWU5YzY0ZDNjMTYzMzJiMmRjMTFkNjQifQ=="/>
    <w:docVar w:name="KSO_WPS_MARK_KEY" w:val="aa3381bc-7b21-405d-b03c-d64cf2f9b256"/>
  </w:docVars>
  <w:rsids>
    <w:rsidRoot w:val="00000000"/>
    <w:rsid w:val="04C5285F"/>
    <w:rsid w:val="07AE036B"/>
    <w:rsid w:val="0895702F"/>
    <w:rsid w:val="133B7B67"/>
    <w:rsid w:val="19B36D72"/>
    <w:rsid w:val="29E67293"/>
    <w:rsid w:val="35075CD2"/>
    <w:rsid w:val="35894098"/>
    <w:rsid w:val="3DBA59ED"/>
    <w:rsid w:val="42B850ED"/>
    <w:rsid w:val="44261816"/>
    <w:rsid w:val="579C0199"/>
    <w:rsid w:val="58DE5962"/>
    <w:rsid w:val="5AA61FA3"/>
    <w:rsid w:val="608B074E"/>
    <w:rsid w:val="60B371C8"/>
    <w:rsid w:val="65336080"/>
    <w:rsid w:val="736C229E"/>
    <w:rsid w:val="764A5A81"/>
    <w:rsid w:val="77D5511A"/>
  </w:rsids>
  <m:mathPr>
    <m:mathFont m:val="Lucida Grande"/>
    <m:brkBin m:val="before"/>
    <m:brkBinSub m:val="--"/>
    <m:smallFrac m:val="0"/>
    <m:dispDef/>
    <m:lMargin m:val="0"/>
    <m:rMargin m:val="0"/>
    <m:defJc m:val="centerGroup"/>
    <m:wrapRight m:val="1"/>
    <m:intLim m:val="subSup"/>
    <m:naryLim m:val="subSup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qFormat="1" w:unhideWhenUsed="0" w:uiPriority="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qFormat="1" w:unhideWhenUsed="0" w:uiPriority="0" w:semiHidden="0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qFormat="1" w:unhideWhenUsed="0" w:uiPriority="0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unhideWhenUsed="0" w:uiPriority="99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qFormat="1" w:unhideWhenUsed="0" w:uiPriority="0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qFormat="1" w:unhideWhenUsed="0" w:uiPriority="0" w:semiHidden="0" w:name="Subtitle"/>
    <w:lsdException w:unhideWhenUsed="0" w:uiPriority="99" w:semiHidden="0" w:name="Salutation"/>
    <w:lsdException w:qFormat="1" w:unhideWhenUsed="0" w:uiPriority="0" w:semiHidden="0" w:name="Date"/>
    <w:lsdException w:unhideWhenUsed="0" w:uiPriority="99" w:semiHidden="0" w:name="Body Text First Indent"/>
    <w:lsdException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qFormat="1" w:unhideWhenUsed="0" w:uiPriority="9" w:semiHidden="0" w:name="Block Text"/>
    <w:lsdException w:qFormat="1" w:unhideWhenUsed="0" w:uiPriority="0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semiHidden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spacing w:after="200"/>
    </w:pPr>
    <w:rPr>
      <w:rFonts w:ascii="Cambria" w:hAnsi="Cambria" w:eastAsia="Cambria" w:cs="宋体"/>
      <w:sz w:val="24"/>
      <w:szCs w:val="24"/>
      <w:lang w:val="en-US" w:eastAsia="en-US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480" w:after="0"/>
      <w:outlineLvl w:val="0"/>
    </w:pPr>
    <w:rPr>
      <w:rFonts w:ascii="Calibri" w:hAnsi="Calibri" w:eastAsia="宋体" w:cs="宋体"/>
      <w:b/>
      <w:bCs/>
      <w:color w:val="345B8A"/>
      <w:sz w:val="32"/>
      <w:szCs w:val="32"/>
    </w:rPr>
  </w:style>
  <w:style w:type="paragraph" w:styleId="3">
    <w:name w:val="heading 2"/>
    <w:basedOn w:val="1"/>
    <w:next w:val="1"/>
    <w:qFormat/>
    <w:uiPriority w:val="9"/>
    <w:pPr>
      <w:keepNext/>
      <w:keepLines/>
      <w:spacing w:before="200" w:after="0"/>
      <w:outlineLvl w:val="1"/>
    </w:pPr>
    <w:rPr>
      <w:rFonts w:ascii="Calibri" w:hAnsi="Calibri" w:eastAsia="宋体" w:cs="宋体"/>
      <w:b/>
      <w:bCs/>
      <w:color w:val="4F81BD"/>
      <w:sz w:val="32"/>
      <w:szCs w:val="32"/>
    </w:rPr>
  </w:style>
  <w:style w:type="paragraph" w:styleId="4">
    <w:name w:val="heading 3"/>
    <w:basedOn w:val="1"/>
    <w:next w:val="1"/>
    <w:qFormat/>
    <w:uiPriority w:val="9"/>
    <w:pPr>
      <w:keepNext/>
      <w:keepLines/>
      <w:spacing w:before="200" w:after="0"/>
      <w:outlineLvl w:val="2"/>
    </w:pPr>
    <w:rPr>
      <w:rFonts w:ascii="Calibri" w:hAnsi="Calibri" w:eastAsia="宋体" w:cs="宋体"/>
      <w:b/>
      <w:bCs/>
      <w:color w:val="4F81BD"/>
      <w:sz w:val="28"/>
      <w:szCs w:val="28"/>
    </w:rPr>
  </w:style>
  <w:style w:type="paragraph" w:styleId="5">
    <w:name w:val="heading 4"/>
    <w:basedOn w:val="1"/>
    <w:next w:val="1"/>
    <w:qFormat/>
    <w:uiPriority w:val="9"/>
    <w:pPr>
      <w:keepNext/>
      <w:keepLines/>
      <w:spacing w:before="200" w:after="0"/>
      <w:outlineLvl w:val="3"/>
    </w:pPr>
    <w:rPr>
      <w:rFonts w:ascii="Calibri" w:hAnsi="Calibri" w:eastAsia="宋体" w:cs="宋体"/>
      <w:b/>
      <w:bCs/>
      <w:color w:val="4F81BD"/>
      <w:sz w:val="24"/>
      <w:szCs w:val="24"/>
    </w:rPr>
  </w:style>
  <w:style w:type="paragraph" w:styleId="6">
    <w:name w:val="heading 5"/>
    <w:basedOn w:val="1"/>
    <w:next w:val="1"/>
    <w:qFormat/>
    <w:uiPriority w:val="9"/>
    <w:pPr>
      <w:keepNext/>
      <w:keepLines/>
      <w:spacing w:before="200" w:after="0"/>
      <w:outlineLvl w:val="4"/>
    </w:pPr>
    <w:rPr>
      <w:rFonts w:ascii="Calibri" w:hAnsi="Calibri" w:eastAsia="宋体" w:cs="宋体"/>
      <w:i/>
      <w:iCs/>
      <w:color w:val="4F81BD"/>
      <w:sz w:val="24"/>
      <w:szCs w:val="24"/>
    </w:rPr>
  </w:style>
  <w:style w:type="paragraph" w:styleId="7">
    <w:name w:val="heading 6"/>
    <w:basedOn w:val="1"/>
    <w:next w:val="1"/>
    <w:qFormat/>
    <w:uiPriority w:val="9"/>
    <w:pPr>
      <w:keepNext/>
      <w:keepLines/>
      <w:spacing w:before="200" w:after="0"/>
      <w:outlineLvl w:val="5"/>
    </w:pPr>
    <w:rPr>
      <w:rFonts w:ascii="Calibri" w:hAnsi="Calibri" w:eastAsia="宋体" w:cs="宋体"/>
      <w:color w:val="4F81BD"/>
      <w:sz w:val="24"/>
      <w:szCs w:val="24"/>
    </w:rPr>
  </w:style>
  <w:style w:type="paragraph" w:styleId="8">
    <w:name w:val="heading 7"/>
    <w:basedOn w:val="1"/>
    <w:next w:val="1"/>
    <w:qFormat/>
    <w:uiPriority w:val="9"/>
    <w:pPr>
      <w:keepNext/>
      <w:keepLines/>
      <w:spacing w:before="200" w:after="0"/>
      <w:outlineLvl w:val="6"/>
    </w:pPr>
    <w:rPr>
      <w:rFonts w:ascii="Calibri" w:hAnsi="Calibri" w:eastAsia="宋体" w:cs="宋体"/>
      <w:color w:val="4F81BD"/>
      <w:sz w:val="24"/>
      <w:szCs w:val="24"/>
    </w:rPr>
  </w:style>
  <w:style w:type="paragraph" w:styleId="9">
    <w:name w:val="heading 8"/>
    <w:basedOn w:val="1"/>
    <w:next w:val="1"/>
    <w:qFormat/>
    <w:uiPriority w:val="9"/>
    <w:pPr>
      <w:keepNext/>
      <w:keepLines/>
      <w:spacing w:before="200" w:after="0"/>
      <w:outlineLvl w:val="7"/>
    </w:pPr>
    <w:rPr>
      <w:rFonts w:ascii="Calibri" w:hAnsi="Calibri" w:eastAsia="宋体" w:cs="宋体"/>
      <w:color w:val="4F81BD"/>
      <w:sz w:val="24"/>
      <w:szCs w:val="24"/>
    </w:rPr>
  </w:style>
  <w:style w:type="paragraph" w:styleId="10">
    <w:name w:val="heading 9"/>
    <w:basedOn w:val="1"/>
    <w:next w:val="1"/>
    <w:qFormat/>
    <w:uiPriority w:val="9"/>
    <w:pPr>
      <w:keepNext/>
      <w:keepLines/>
      <w:spacing w:before="200" w:after="0"/>
      <w:outlineLvl w:val="8"/>
    </w:pPr>
    <w:rPr>
      <w:rFonts w:ascii="Calibri" w:hAnsi="Calibri" w:eastAsia="宋体" w:cs="宋体"/>
      <w:color w:val="4F81BD"/>
      <w:sz w:val="24"/>
      <w:szCs w:val="24"/>
    </w:rPr>
  </w:style>
  <w:style w:type="character" w:default="1" w:styleId="20">
    <w:name w:val="Default Paragraph Font"/>
    <w:qFormat/>
    <w:uiPriority w:val="0"/>
  </w:style>
  <w:style w:type="table" w:default="1" w:styleId="18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caption"/>
    <w:basedOn w:val="1"/>
    <w:next w:val="1"/>
    <w:qFormat/>
    <w:uiPriority w:val="0"/>
    <w:pPr>
      <w:spacing w:before="0" w:after="120"/>
    </w:pPr>
    <w:rPr>
      <w:i/>
    </w:rPr>
  </w:style>
  <w:style w:type="paragraph" w:styleId="12">
    <w:name w:val="Body Text"/>
    <w:basedOn w:val="1"/>
    <w:link w:val="22"/>
    <w:qFormat/>
    <w:uiPriority w:val="0"/>
    <w:pPr>
      <w:spacing w:before="180" w:after="180"/>
    </w:pPr>
  </w:style>
  <w:style w:type="paragraph" w:styleId="13">
    <w:name w:val="Block Text"/>
    <w:basedOn w:val="12"/>
    <w:qFormat/>
    <w:uiPriority w:val="9"/>
    <w:pPr>
      <w:spacing w:before="100" w:after="100"/>
      <w:ind w:firstLine="0"/>
    </w:pPr>
    <w:rPr>
      <w:rFonts w:ascii="Calibri" w:hAnsi="Calibri" w:eastAsia="宋体" w:cs="宋体"/>
      <w:bCs/>
      <w:sz w:val="20"/>
      <w:szCs w:val="20"/>
    </w:rPr>
  </w:style>
  <w:style w:type="paragraph" w:styleId="14">
    <w:name w:val="Date"/>
    <w:next w:val="1"/>
    <w:qFormat/>
    <w:uiPriority w:val="0"/>
    <w:pPr>
      <w:keepNext/>
      <w:keepLines/>
      <w:spacing w:after="200"/>
      <w:jc w:val="center"/>
    </w:pPr>
    <w:rPr>
      <w:rFonts w:ascii="Cambria" w:hAnsi="Cambria" w:eastAsia="Cambria" w:cs="宋体"/>
      <w:sz w:val="24"/>
      <w:szCs w:val="24"/>
      <w:lang w:val="en-US" w:eastAsia="en-US" w:bidi="ar-SA"/>
    </w:rPr>
  </w:style>
  <w:style w:type="paragraph" w:styleId="15">
    <w:name w:val="Subtitle"/>
    <w:basedOn w:val="16"/>
    <w:qFormat/>
    <w:uiPriority w:val="0"/>
    <w:pPr>
      <w:keepNext/>
      <w:keepLines/>
      <w:spacing w:before="240" w:after="240"/>
      <w:jc w:val="center"/>
    </w:pPr>
    <w:rPr>
      <w:sz w:val="30"/>
      <w:szCs w:val="30"/>
    </w:rPr>
  </w:style>
  <w:style w:type="paragraph" w:styleId="16">
    <w:name w:val="Title"/>
    <w:basedOn w:val="1"/>
    <w:qFormat/>
    <w:uiPriority w:val="0"/>
    <w:pPr>
      <w:keepNext/>
      <w:keepLines/>
      <w:spacing w:before="480" w:after="240"/>
      <w:jc w:val="center"/>
    </w:pPr>
    <w:rPr>
      <w:rFonts w:ascii="Calibri" w:hAnsi="Calibri" w:eastAsia="宋体" w:cs="宋体"/>
      <w:b/>
      <w:bCs/>
      <w:color w:val="345B8A"/>
      <w:sz w:val="36"/>
      <w:szCs w:val="36"/>
    </w:rPr>
  </w:style>
  <w:style w:type="paragraph" w:styleId="17">
    <w:name w:val="footnote text"/>
    <w:basedOn w:val="1"/>
    <w:qFormat/>
    <w:uiPriority w:val="9"/>
  </w:style>
  <w:style w:type="table" w:styleId="19">
    <w:name w:val="Table Grid"/>
    <w:basedOn w:val="1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1">
    <w:name w:val="Hyperlink"/>
    <w:basedOn w:val="22"/>
    <w:qFormat/>
    <w:uiPriority w:val="0"/>
    <w:rPr>
      <w:color w:val="4F81BD"/>
    </w:rPr>
  </w:style>
  <w:style w:type="character" w:customStyle="1" w:styleId="22">
    <w:name w:val="Body Text Char"/>
    <w:basedOn w:val="20"/>
    <w:link w:val="12"/>
    <w:qFormat/>
    <w:uiPriority w:val="0"/>
  </w:style>
  <w:style w:type="character" w:styleId="23">
    <w:name w:val="footnote reference"/>
    <w:basedOn w:val="22"/>
    <w:qFormat/>
    <w:uiPriority w:val="0"/>
    <w:rPr>
      <w:vertAlign w:val="superscript"/>
    </w:rPr>
  </w:style>
  <w:style w:type="paragraph" w:customStyle="1" w:styleId="24">
    <w:name w:val="First Paragraph"/>
    <w:basedOn w:val="12"/>
    <w:qFormat/>
    <w:uiPriority w:val="0"/>
  </w:style>
  <w:style w:type="paragraph" w:customStyle="1" w:styleId="25">
    <w:name w:val="Compact"/>
    <w:basedOn w:val="12"/>
    <w:qFormat/>
    <w:uiPriority w:val="0"/>
    <w:pPr>
      <w:spacing w:before="36" w:after="36"/>
    </w:pPr>
  </w:style>
  <w:style w:type="paragraph" w:customStyle="1" w:styleId="26">
    <w:name w:val="Author"/>
    <w:qFormat/>
    <w:uiPriority w:val="0"/>
    <w:pPr>
      <w:keepNext/>
      <w:keepLines/>
      <w:spacing w:after="200"/>
      <w:jc w:val="center"/>
    </w:pPr>
    <w:rPr>
      <w:rFonts w:ascii="Cambria" w:hAnsi="Cambria" w:eastAsia="Cambria" w:cs="宋体"/>
      <w:sz w:val="24"/>
      <w:szCs w:val="24"/>
      <w:lang w:val="en-US" w:eastAsia="en-US" w:bidi="ar-SA"/>
    </w:rPr>
  </w:style>
  <w:style w:type="paragraph" w:customStyle="1" w:styleId="27">
    <w:name w:val="Abstract"/>
    <w:basedOn w:val="1"/>
    <w:qFormat/>
    <w:uiPriority w:val="0"/>
    <w:pPr>
      <w:keepNext/>
      <w:keepLines/>
      <w:spacing w:before="300" w:after="300"/>
    </w:pPr>
    <w:rPr>
      <w:sz w:val="20"/>
      <w:szCs w:val="20"/>
    </w:rPr>
  </w:style>
  <w:style w:type="paragraph" w:customStyle="1" w:styleId="28">
    <w:name w:val="Bibliography_5172ca9e-b632-488b-a415-45c9b72e773a"/>
    <w:basedOn w:val="1"/>
    <w:qFormat/>
    <w:uiPriority w:val="0"/>
  </w:style>
  <w:style w:type="table" w:customStyle="1" w:styleId="29">
    <w:name w:val="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0">
    <w:name w:val="Definition Term"/>
    <w:basedOn w:val="1"/>
    <w:qFormat/>
    <w:uiPriority w:val="0"/>
    <w:pPr>
      <w:keepNext/>
      <w:keepLines/>
      <w:spacing w:after="0"/>
    </w:pPr>
    <w:rPr>
      <w:b/>
    </w:rPr>
  </w:style>
  <w:style w:type="paragraph" w:customStyle="1" w:styleId="31">
    <w:name w:val="Definition"/>
    <w:basedOn w:val="1"/>
    <w:qFormat/>
    <w:uiPriority w:val="0"/>
  </w:style>
  <w:style w:type="paragraph" w:customStyle="1" w:styleId="32">
    <w:name w:val="Table Caption"/>
    <w:basedOn w:val="11"/>
    <w:qFormat/>
    <w:uiPriority w:val="0"/>
    <w:pPr>
      <w:keepNext/>
    </w:pPr>
  </w:style>
  <w:style w:type="paragraph" w:customStyle="1" w:styleId="33">
    <w:name w:val="Image Caption"/>
    <w:basedOn w:val="11"/>
    <w:qFormat/>
    <w:uiPriority w:val="0"/>
  </w:style>
  <w:style w:type="paragraph" w:customStyle="1" w:styleId="34">
    <w:name w:val="Figure"/>
    <w:basedOn w:val="1"/>
    <w:qFormat/>
    <w:uiPriority w:val="0"/>
  </w:style>
  <w:style w:type="paragraph" w:customStyle="1" w:styleId="35">
    <w:name w:val="Captioned Figure"/>
    <w:basedOn w:val="34"/>
    <w:qFormat/>
    <w:uiPriority w:val="0"/>
    <w:pPr>
      <w:keepNext/>
    </w:pPr>
  </w:style>
  <w:style w:type="character" w:customStyle="1" w:styleId="36">
    <w:name w:val="Verbatim Char"/>
    <w:basedOn w:val="22"/>
    <w:link w:val="37"/>
    <w:qFormat/>
    <w:uiPriority w:val="0"/>
    <w:rPr>
      <w:rFonts w:ascii="Consolas" w:hAnsi="Consolas"/>
      <w:sz w:val="22"/>
    </w:rPr>
  </w:style>
  <w:style w:type="paragraph" w:customStyle="1" w:styleId="37">
    <w:name w:val="Source Code"/>
    <w:basedOn w:val="1"/>
    <w:link w:val="36"/>
    <w:qFormat/>
    <w:uiPriority w:val="0"/>
    <w:pPr>
      <w:wordWrap w:val="0"/>
    </w:pPr>
  </w:style>
  <w:style w:type="paragraph" w:customStyle="1" w:styleId="38">
    <w:name w:val="TOC Heading_8e4ae27b-cd70-4003-b997-04f0bb8be9d6"/>
    <w:basedOn w:val="2"/>
    <w:qFormat/>
    <w:uiPriority w:val="39"/>
    <w:pPr>
      <w:spacing w:before="240" w:line="259" w:lineRule="auto"/>
      <w:outlineLvl w:val="9"/>
    </w:pPr>
    <w:rPr>
      <w:rFonts w:ascii="Calibri" w:hAnsi="Calibri" w:eastAsia="宋体" w:cs="宋体"/>
      <w:b w:val="0"/>
      <w:bCs w:val="0"/>
      <w:color w:val="376092"/>
    </w:rPr>
  </w:style>
  <w:style w:type="character" w:customStyle="1" w:styleId="39">
    <w:name w:val="KeywordTok"/>
    <w:basedOn w:val="36"/>
    <w:qFormat/>
    <w:uiPriority w:val="0"/>
    <w:rPr>
      <w:b/>
      <w:color w:val="007020"/>
    </w:rPr>
  </w:style>
  <w:style w:type="character" w:customStyle="1" w:styleId="40">
    <w:name w:val="DataTypeTok"/>
    <w:basedOn w:val="36"/>
    <w:qFormat/>
    <w:uiPriority w:val="0"/>
    <w:rPr>
      <w:color w:val="902000"/>
    </w:rPr>
  </w:style>
  <w:style w:type="character" w:customStyle="1" w:styleId="41">
    <w:name w:val="DecValTok"/>
    <w:basedOn w:val="36"/>
    <w:qFormat/>
    <w:uiPriority w:val="0"/>
    <w:rPr>
      <w:color w:val="40A070"/>
    </w:rPr>
  </w:style>
  <w:style w:type="character" w:customStyle="1" w:styleId="42">
    <w:name w:val="BaseNTok"/>
    <w:basedOn w:val="36"/>
    <w:qFormat/>
    <w:uiPriority w:val="0"/>
    <w:rPr>
      <w:color w:val="40A070"/>
    </w:rPr>
  </w:style>
  <w:style w:type="character" w:customStyle="1" w:styleId="43">
    <w:name w:val="FloatTok"/>
    <w:basedOn w:val="36"/>
    <w:qFormat/>
    <w:uiPriority w:val="0"/>
    <w:rPr>
      <w:color w:val="40A070"/>
    </w:rPr>
  </w:style>
  <w:style w:type="character" w:customStyle="1" w:styleId="44">
    <w:name w:val="ConstantTok"/>
    <w:basedOn w:val="36"/>
    <w:qFormat/>
    <w:uiPriority w:val="0"/>
    <w:rPr>
      <w:color w:val="880000"/>
    </w:rPr>
  </w:style>
  <w:style w:type="character" w:customStyle="1" w:styleId="45">
    <w:name w:val="CharTok"/>
    <w:basedOn w:val="36"/>
    <w:qFormat/>
    <w:uiPriority w:val="0"/>
    <w:rPr>
      <w:color w:val="4070A0"/>
    </w:rPr>
  </w:style>
  <w:style w:type="character" w:customStyle="1" w:styleId="46">
    <w:name w:val="SpecialCharTok"/>
    <w:basedOn w:val="36"/>
    <w:qFormat/>
    <w:uiPriority w:val="0"/>
    <w:rPr>
      <w:color w:val="4070A0"/>
    </w:rPr>
  </w:style>
  <w:style w:type="character" w:customStyle="1" w:styleId="47">
    <w:name w:val="StringTok"/>
    <w:basedOn w:val="36"/>
    <w:qFormat/>
    <w:uiPriority w:val="0"/>
    <w:rPr>
      <w:color w:val="4070A0"/>
    </w:rPr>
  </w:style>
  <w:style w:type="character" w:customStyle="1" w:styleId="48">
    <w:name w:val="VerbatimStringTok"/>
    <w:basedOn w:val="36"/>
    <w:qFormat/>
    <w:uiPriority w:val="0"/>
    <w:rPr>
      <w:color w:val="4070A0"/>
    </w:rPr>
  </w:style>
  <w:style w:type="character" w:customStyle="1" w:styleId="49">
    <w:name w:val="SpecialStringTok"/>
    <w:basedOn w:val="36"/>
    <w:qFormat/>
    <w:uiPriority w:val="0"/>
    <w:rPr>
      <w:color w:val="BB6688"/>
    </w:rPr>
  </w:style>
  <w:style w:type="character" w:customStyle="1" w:styleId="50">
    <w:name w:val="ImportTok"/>
    <w:basedOn w:val="36"/>
    <w:qFormat/>
    <w:uiPriority w:val="0"/>
  </w:style>
  <w:style w:type="character" w:customStyle="1" w:styleId="51">
    <w:name w:val="CommentTok"/>
    <w:basedOn w:val="36"/>
    <w:qFormat/>
    <w:uiPriority w:val="0"/>
    <w:rPr>
      <w:i/>
      <w:color w:val="60A0B0"/>
    </w:rPr>
  </w:style>
  <w:style w:type="character" w:customStyle="1" w:styleId="52">
    <w:name w:val="DocumentationTok"/>
    <w:basedOn w:val="36"/>
    <w:qFormat/>
    <w:uiPriority w:val="0"/>
    <w:rPr>
      <w:i/>
      <w:color w:val="BA2121"/>
    </w:rPr>
  </w:style>
  <w:style w:type="character" w:customStyle="1" w:styleId="53">
    <w:name w:val="AnnotationTok"/>
    <w:basedOn w:val="36"/>
    <w:qFormat/>
    <w:uiPriority w:val="0"/>
    <w:rPr>
      <w:b/>
      <w:i/>
      <w:color w:val="60A0B0"/>
    </w:rPr>
  </w:style>
  <w:style w:type="character" w:customStyle="1" w:styleId="54">
    <w:name w:val="CommentVarTok"/>
    <w:basedOn w:val="36"/>
    <w:qFormat/>
    <w:uiPriority w:val="0"/>
    <w:rPr>
      <w:b/>
      <w:i/>
      <w:color w:val="60A0B0"/>
    </w:rPr>
  </w:style>
  <w:style w:type="character" w:customStyle="1" w:styleId="55">
    <w:name w:val="OtherTok"/>
    <w:basedOn w:val="36"/>
    <w:qFormat/>
    <w:uiPriority w:val="0"/>
    <w:rPr>
      <w:color w:val="007020"/>
    </w:rPr>
  </w:style>
  <w:style w:type="character" w:customStyle="1" w:styleId="56">
    <w:name w:val="FunctionTok"/>
    <w:basedOn w:val="36"/>
    <w:qFormat/>
    <w:uiPriority w:val="0"/>
    <w:rPr>
      <w:color w:val="06287E"/>
    </w:rPr>
  </w:style>
  <w:style w:type="character" w:customStyle="1" w:styleId="57">
    <w:name w:val="VariableTok"/>
    <w:basedOn w:val="36"/>
    <w:qFormat/>
    <w:uiPriority w:val="0"/>
    <w:rPr>
      <w:color w:val="19177C"/>
    </w:rPr>
  </w:style>
  <w:style w:type="character" w:customStyle="1" w:styleId="58">
    <w:name w:val="ControlFlowTok"/>
    <w:basedOn w:val="36"/>
    <w:qFormat/>
    <w:uiPriority w:val="0"/>
    <w:rPr>
      <w:b/>
      <w:color w:val="007020"/>
    </w:rPr>
  </w:style>
  <w:style w:type="character" w:customStyle="1" w:styleId="59">
    <w:name w:val="OperatorTok"/>
    <w:basedOn w:val="36"/>
    <w:qFormat/>
    <w:uiPriority w:val="0"/>
    <w:rPr>
      <w:color w:val="666666"/>
    </w:rPr>
  </w:style>
  <w:style w:type="character" w:customStyle="1" w:styleId="60">
    <w:name w:val="BuiltInTok"/>
    <w:basedOn w:val="36"/>
    <w:qFormat/>
    <w:uiPriority w:val="0"/>
  </w:style>
  <w:style w:type="character" w:customStyle="1" w:styleId="61">
    <w:name w:val="ExtensionTok"/>
    <w:basedOn w:val="36"/>
    <w:qFormat/>
    <w:uiPriority w:val="0"/>
  </w:style>
  <w:style w:type="character" w:customStyle="1" w:styleId="62">
    <w:name w:val="PreprocessorTok"/>
    <w:basedOn w:val="36"/>
    <w:qFormat/>
    <w:uiPriority w:val="0"/>
    <w:rPr>
      <w:color w:val="BC7A00"/>
    </w:rPr>
  </w:style>
  <w:style w:type="character" w:customStyle="1" w:styleId="63">
    <w:name w:val="AttributeTok"/>
    <w:basedOn w:val="36"/>
    <w:qFormat/>
    <w:uiPriority w:val="0"/>
    <w:rPr>
      <w:color w:val="7D9029"/>
    </w:rPr>
  </w:style>
  <w:style w:type="character" w:customStyle="1" w:styleId="64">
    <w:name w:val="RegionMarkerTok"/>
    <w:basedOn w:val="36"/>
    <w:qFormat/>
    <w:uiPriority w:val="0"/>
  </w:style>
  <w:style w:type="character" w:customStyle="1" w:styleId="65">
    <w:name w:val="InformationTok"/>
    <w:basedOn w:val="36"/>
    <w:qFormat/>
    <w:uiPriority w:val="0"/>
    <w:rPr>
      <w:b/>
      <w:i/>
      <w:color w:val="60A0B0"/>
    </w:rPr>
  </w:style>
  <w:style w:type="character" w:customStyle="1" w:styleId="66">
    <w:name w:val="WarningTok"/>
    <w:basedOn w:val="36"/>
    <w:qFormat/>
    <w:uiPriority w:val="0"/>
    <w:rPr>
      <w:b/>
      <w:i/>
      <w:color w:val="60A0B0"/>
    </w:rPr>
  </w:style>
  <w:style w:type="character" w:customStyle="1" w:styleId="67">
    <w:name w:val="AlertTok"/>
    <w:basedOn w:val="36"/>
    <w:qFormat/>
    <w:uiPriority w:val="0"/>
    <w:rPr>
      <w:b/>
      <w:color w:val="FF0000"/>
    </w:rPr>
  </w:style>
  <w:style w:type="character" w:customStyle="1" w:styleId="68">
    <w:name w:val="ErrorTok"/>
    <w:basedOn w:val="36"/>
    <w:qFormat/>
    <w:uiPriority w:val="0"/>
    <w:rPr>
      <w:b/>
      <w:color w:val="FF0000"/>
    </w:rPr>
  </w:style>
  <w:style w:type="character" w:customStyle="1" w:styleId="69">
    <w:name w:val="NormalTok"/>
    <w:basedOn w:val="36"/>
    <w:qFormat/>
    <w:uiPriority w:val="0"/>
  </w:style>
  <w:style w:type="character" w:customStyle="1" w:styleId="70">
    <w:name w:val="font11"/>
    <w:basedOn w:val="20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satMod val="300000"/>
                <a:tint val="50000"/>
              </a:schemeClr>
            </a:gs>
            <a:gs pos="35000">
              <a:schemeClr val="phClr">
                <a:satMod val="300000"/>
                <a:tint val="37000"/>
              </a:schemeClr>
            </a:gs>
            <a:gs pos="100000">
              <a:schemeClr val="phClr">
                <a:satMod val="350000"/>
                <a:tint val="1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atMod val="130000"/>
                <a:shade val="51000"/>
              </a:schemeClr>
            </a:gs>
            <a:gs pos="80000">
              <a:schemeClr val="phClr">
                <a:satMod val="130000"/>
                <a:shade val="93000"/>
              </a:schemeClr>
            </a:gs>
            <a:gs pos="100000">
              <a:schemeClr val="phClr">
                <a:satMod val="135000"/>
                <a:shade val="94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atMod val="105000"/>
              <a:shade val="9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atMod val="350000"/>
                <a:tint val="40000"/>
              </a:schemeClr>
            </a:gs>
            <a:gs pos="40000">
              <a:schemeClr val="phClr">
                <a:satMod val="350000"/>
                <a:shade val="99000"/>
                <a:tint val="45000"/>
              </a:schemeClr>
            </a:gs>
            <a:gs pos="100000">
              <a:schemeClr val="phClr">
                <a:satMod val="255000"/>
                <a:shade val="20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satMod val="300000"/>
                <a:tint val="80000"/>
              </a:schemeClr>
            </a:gs>
            <a:gs pos="100000">
              <a:schemeClr val="phClr">
                <a:satMod val="200000"/>
                <a:shade val="3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836</Words>
  <Characters>862</Characters>
  <Lines>0</Lines>
  <Paragraphs>111</Paragraphs>
  <TotalTime>0</TotalTime>
  <ScaleCrop>false</ScaleCrop>
  <LinksUpToDate>false</LinksUpToDate>
  <CharactersWithSpaces>903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2024-07-15T08:37:00Z</dcterms:created>
  <dc:creator>袁森</dc:creator>
  <cp:lastModifiedBy>风再起时</cp:lastModifiedBy>
  <cp:lastPrinted>2025-03-26T10:46:00Z</cp:lastPrinted>
  <dcterms:modified xsi:type="dcterms:W3CDTF">2025-06-06T08:58:03Z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ferrer">
    <vt:lpwstr>never</vt:lpwstr>
  </property>
  <property fmtid="{D5CDD505-2E9C-101B-9397-08002B2CF9AE}" pid="3" name="KSOProductBuildVer">
    <vt:lpwstr>2052-12.1.0.21171</vt:lpwstr>
  </property>
  <property fmtid="{D5CDD505-2E9C-101B-9397-08002B2CF9AE}" pid="4" name="ICV">
    <vt:lpwstr>43E6863A96754466B933675DBEFCB999_13</vt:lpwstr>
  </property>
  <property fmtid="{D5CDD505-2E9C-101B-9397-08002B2CF9AE}" pid="5" name="KSOTemplateDocerSaveRecord">
    <vt:lpwstr>eyJoZGlkIjoiMjI1MDExMmE4YWM3MmUzOWQyM2FkNDI3NzgzZjU4ZGQiLCJ1c2VySWQiOiIxMjAzMzYzMTExIn0=</vt:lpwstr>
  </property>
</Properties>
</file>