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C56AD">
      <w:pPr>
        <w:keepNext w:val="0"/>
        <w:keepLines w:val="0"/>
        <w:pageBreakBefore w:val="0"/>
        <w:widowControl w:val="0"/>
        <w:kinsoku/>
        <w:wordWrap/>
        <w:overflowPunct/>
        <w:topLinePunct w:val="0"/>
        <w:autoSpaceDE/>
        <w:autoSpaceDN/>
        <w:bidi w:val="0"/>
        <w:adjustRightInd/>
        <w:spacing w:line="480" w:lineRule="exact"/>
        <w:jc w:val="center"/>
        <w:textAlignment w:val="auto"/>
        <w:rPr>
          <w:rFonts w:hint="eastAsia"/>
          <w:sz w:val="36"/>
          <w:szCs w:val="36"/>
          <w:lang w:val="en-US" w:eastAsia="zh-CN"/>
        </w:rPr>
      </w:pPr>
      <w:r>
        <w:rPr>
          <w:rFonts w:hint="eastAsia"/>
          <w:b/>
          <w:bCs/>
          <w:sz w:val="36"/>
          <w:szCs w:val="36"/>
          <w:lang w:val="en-US" w:eastAsia="zh-CN"/>
        </w:rPr>
        <w:t>淮北市人民医院消防维保服务</w:t>
      </w:r>
      <w:r>
        <w:rPr>
          <w:rFonts w:hint="eastAsia" w:eastAsia="宋体"/>
          <w:b/>
          <w:bCs/>
          <w:sz w:val="36"/>
          <w:szCs w:val="36"/>
          <w:lang w:eastAsia="zh-CN"/>
        </w:rPr>
        <w:t>项目客户需求书</w:t>
      </w:r>
    </w:p>
    <w:p w14:paraId="297080D0">
      <w:pPr>
        <w:keepNext w:val="0"/>
        <w:keepLines w:val="0"/>
        <w:pageBreakBefore w:val="0"/>
        <w:widowControl w:val="0"/>
        <w:numPr>
          <w:ilvl w:val="0"/>
          <w:numId w:val="1"/>
        </w:numPr>
        <w:kinsoku/>
        <w:wordWrap/>
        <w:overflowPunct/>
        <w:topLinePunct w:val="0"/>
        <w:autoSpaceDE/>
        <w:autoSpaceDN/>
        <w:bidi w:val="0"/>
        <w:adjustRightInd/>
        <w:spacing w:line="480" w:lineRule="exact"/>
        <w:jc w:val="both"/>
        <w:textAlignment w:val="auto"/>
        <w:rPr>
          <w:rFonts w:hint="eastAsia"/>
          <w:sz w:val="24"/>
          <w:szCs w:val="24"/>
          <w:lang w:val="en-US" w:eastAsia="zh-CN"/>
        </w:rPr>
      </w:pPr>
      <w:r>
        <w:rPr>
          <w:rFonts w:hint="eastAsia"/>
          <w:sz w:val="24"/>
          <w:szCs w:val="24"/>
          <w:lang w:val="en-US" w:eastAsia="zh-CN"/>
        </w:rPr>
        <w:t>项目背景</w:t>
      </w:r>
    </w:p>
    <w:p w14:paraId="0C3B0285">
      <w:pPr>
        <w:widowControl w:val="0"/>
        <w:snapToGrid w:val="0"/>
        <w:ind w:firstLine="480" w:firstLineChars="200"/>
        <w:rPr>
          <w:rFonts w:hint="eastAsia"/>
          <w:sz w:val="24"/>
          <w:szCs w:val="24"/>
          <w:lang w:val="en-US" w:eastAsia="zh-CN"/>
        </w:rPr>
      </w:pPr>
      <w:r>
        <w:rPr>
          <w:rFonts w:hint="eastAsia"/>
          <w:sz w:val="24"/>
          <w:szCs w:val="24"/>
          <w:lang w:val="en-US" w:eastAsia="zh-CN"/>
        </w:rPr>
        <w:t>为保障医院消防系统设备正常运转，特申请消防维保服务招标。具体需求如下：</w:t>
      </w:r>
    </w:p>
    <w:p w14:paraId="46508C13">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二、服务需求</w:t>
      </w:r>
    </w:p>
    <w:p w14:paraId="60CD5CEE">
      <w:pPr>
        <w:numPr>
          <w:ilvl w:val="0"/>
          <w:numId w:val="2"/>
        </w:numPr>
        <w:ind w:left="0" w:leftChars="0" w:firstLine="0" w:firstLineChars="0"/>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提供的消防设备器材能满足现行的国家规范要求。</w:t>
      </w:r>
    </w:p>
    <w:p w14:paraId="06EFC3AD">
      <w:pPr>
        <w:numPr>
          <w:ilvl w:val="0"/>
          <w:numId w:val="2"/>
        </w:numPr>
        <w:ind w:left="0" w:leftChars="0" w:firstLine="0" w:firstLineChars="0"/>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维保响应时间小于2小时（提供维保公司至新院区地图距离）</w:t>
      </w:r>
    </w:p>
    <w:p w14:paraId="407B0BB0">
      <w:pPr>
        <w:numPr>
          <w:ilvl w:val="0"/>
          <w:numId w:val="0"/>
        </w:numPr>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3、后期采购人购买、更换消防设备中标供应商须按照要求安装到位，维修、更换、安装人工服务费不另收取费用。</w:t>
      </w:r>
    </w:p>
    <w:p w14:paraId="6C0F9AFD">
      <w:pPr>
        <w:numPr>
          <w:ilvl w:val="0"/>
          <w:numId w:val="0"/>
        </w:numPr>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4、维保施工时不得妨碍医院诊疗工作正常开展，产生垃圾应当天清理完毕。</w:t>
      </w:r>
    </w:p>
    <w:p w14:paraId="4B5059D9">
      <w:pPr>
        <w:numPr>
          <w:ilvl w:val="0"/>
          <w:numId w:val="0"/>
        </w:numPr>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5、维保服务中项目负责人、技术负责人须到现场参与维保工作并签字确认。</w:t>
      </w:r>
    </w:p>
    <w:p w14:paraId="229955D8">
      <w:pPr>
        <w:adjustRightInd w:val="0"/>
        <w:snapToGrid w:val="0"/>
        <w:spacing w:line="360" w:lineRule="auto"/>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 xml:space="preserve">6、本项目的特定资格要求：具有相关消防设备维保资质（提供社会消防技术服务信息系统截图）。 </w:t>
      </w:r>
    </w:p>
    <w:p w14:paraId="34E1A4A5">
      <w:pPr>
        <w:adjustRightInd w:val="0"/>
        <w:snapToGrid w:val="0"/>
        <w:spacing w:line="360" w:lineRule="auto"/>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7、合同支付按月结算，采购人在收到中标供应商提供的合规发票、验收合格材料后按照医院财务规定向中标供应商支付月完成验收合格金额的100%。中标供应商在提供维保服务过程中经采购人考核不合格的，采购人有权随时终止合同。</w:t>
      </w:r>
    </w:p>
    <w:p w14:paraId="61B4AE15">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cs="宋体"/>
          <w:kern w:val="0"/>
          <w:sz w:val="24"/>
          <w:szCs w:val="24"/>
          <w:lang w:val="en-US" w:eastAsia="zh-CN" w:bidi="ar-SA"/>
        </w:rPr>
        <w:t>三、</w:t>
      </w:r>
      <w:r>
        <w:rPr>
          <w:rFonts w:hint="eastAsia" w:ascii="Cambria" w:hAnsi="Cambria" w:eastAsia="Cambria" w:cs="宋体"/>
          <w:kern w:val="0"/>
          <w:sz w:val="24"/>
          <w:szCs w:val="24"/>
          <w:lang w:val="en-US" w:eastAsia="zh-CN" w:bidi="ar-SA"/>
        </w:rPr>
        <w:t>维保内容</w:t>
      </w:r>
    </w:p>
    <w:p w14:paraId="22F4B2F3">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480" w:firstLineChars="20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淮北市人民医院新院区主题医疗区（南楼、北楼、门诊医技、地下室）、行政楼楼内消防设施及室外消防设施。</w:t>
      </w:r>
    </w:p>
    <w:p w14:paraId="2A4D965C">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both"/>
        <w:rPr>
          <w:rFonts w:hint="eastAsia" w:ascii="Cambria" w:hAnsi="Cambria" w:eastAsia="Cambria" w:cs="宋体"/>
          <w:kern w:val="0"/>
          <w:sz w:val="24"/>
          <w:szCs w:val="24"/>
          <w:lang w:val="en-US" w:eastAsia="zh-CN" w:bidi="ar-SA"/>
        </w:rPr>
      </w:pPr>
      <w:r>
        <w:rPr>
          <w:rFonts w:hint="eastAsia" w:ascii="Cambria" w:hAnsi="Cambria" w:cs="宋体"/>
          <w:kern w:val="0"/>
          <w:sz w:val="24"/>
          <w:szCs w:val="24"/>
          <w:lang w:val="en-US" w:eastAsia="zh-CN" w:bidi="ar-SA"/>
        </w:rPr>
        <w:t>四、</w:t>
      </w:r>
      <w:r>
        <w:rPr>
          <w:rFonts w:hint="eastAsia" w:ascii="Cambria" w:hAnsi="Cambria" w:eastAsia="Cambria" w:cs="宋体"/>
          <w:kern w:val="0"/>
          <w:sz w:val="24"/>
          <w:szCs w:val="24"/>
          <w:lang w:val="en-US" w:eastAsia="zh-CN" w:bidi="ar-SA"/>
        </w:rPr>
        <w:t>维保项目（包括但不限于）</w:t>
      </w:r>
    </w:p>
    <w:p w14:paraId="1DAD4F2B">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1、 火灾自动报警系统</w:t>
      </w:r>
    </w:p>
    <w:p w14:paraId="61A79E80">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2、 消火栓给水系统（室内、室外）</w:t>
      </w:r>
    </w:p>
    <w:p w14:paraId="4B2460CA">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3、 自动喷淋灭火系统（湿式）</w:t>
      </w:r>
    </w:p>
    <w:p w14:paraId="7D1496C1">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4、 防排烟系统</w:t>
      </w:r>
    </w:p>
    <w:p w14:paraId="3F7DD772">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5、水炮系统</w:t>
      </w:r>
    </w:p>
    <w:p w14:paraId="718C9236">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6、气体灭火系统</w:t>
      </w:r>
    </w:p>
    <w:p w14:paraId="42AB0420">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7、电气化火灾监测系统</w:t>
      </w:r>
    </w:p>
    <w:p w14:paraId="7DD0906C">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8、防火门监控系统</w:t>
      </w:r>
    </w:p>
    <w:p w14:paraId="0DB20FD0">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9、细水雾灭火系统</w:t>
      </w:r>
    </w:p>
    <w:p w14:paraId="0A5E2044">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Cambria" w:hAnsi="Cambria" w:eastAsia="Cambria" w:cs="宋体"/>
          <w:kern w:val="0"/>
          <w:sz w:val="24"/>
          <w:szCs w:val="24"/>
          <w:lang w:val="en-US" w:eastAsia="zh-CN" w:bidi="ar-SA"/>
        </w:rPr>
      </w:pPr>
      <w:r>
        <w:rPr>
          <w:rFonts w:hint="eastAsia" w:ascii="Cambria" w:hAnsi="Cambria" w:eastAsia="Cambria" w:cs="宋体"/>
          <w:kern w:val="0"/>
          <w:sz w:val="24"/>
          <w:szCs w:val="24"/>
          <w:lang w:val="en-US" w:eastAsia="zh-CN" w:bidi="ar-SA"/>
        </w:rPr>
        <w:t>10、应急照明和疏散指示系统</w:t>
      </w:r>
    </w:p>
    <w:p w14:paraId="5E932C54">
      <w:pPr>
        <w:widowControl w:val="0"/>
        <w:snapToGrid w:val="0"/>
        <w:rPr>
          <w:rFonts w:ascii="宋体" w:hAnsi="宋体" w:eastAsia="宋体"/>
          <w:lang w:eastAsia="zh-CN"/>
        </w:rPr>
      </w:pPr>
      <w:r>
        <w:rPr>
          <w:rFonts w:hint="eastAsia" w:ascii="宋体" w:hAnsi="宋体" w:eastAsia="宋体"/>
          <w:lang w:val="en-US" w:eastAsia="zh-CN"/>
        </w:rPr>
        <w:t>五、</w:t>
      </w:r>
      <w:r>
        <w:rPr>
          <w:rFonts w:hint="eastAsia" w:ascii="宋体" w:hAnsi="宋体" w:eastAsia="宋体"/>
          <w:lang w:eastAsia="zh-CN"/>
        </w:rPr>
        <w:t>项目控制价为</w:t>
      </w:r>
      <w:r>
        <w:rPr>
          <w:rFonts w:hint="eastAsia" w:ascii="宋体" w:hAnsi="宋体" w:eastAsia="宋体"/>
          <w:lang w:val="en-US" w:eastAsia="zh-CN"/>
        </w:rPr>
        <w:t>62000</w:t>
      </w:r>
      <w:r>
        <w:rPr>
          <w:rFonts w:hint="eastAsia" w:ascii="宋体" w:hAnsi="宋体" w:eastAsia="宋体"/>
          <w:lang w:eastAsia="zh-CN"/>
        </w:rPr>
        <w:t>元，以实际中标价为准，投标时附产品参数介绍，不承诺最低价中标，请充分考察现场考虑各种不利因素。</w:t>
      </w:r>
    </w:p>
    <w:tbl>
      <w:tblPr>
        <w:tblStyle w:val="19"/>
        <w:tblW w:w="87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36"/>
      </w:tblGrid>
      <w:tr w14:paraId="73D1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7" w:hRule="atLeast"/>
        </w:trPr>
        <w:tc>
          <w:tcPr>
            <w:tcW w:w="8736" w:type="dxa"/>
            <w:tcBorders>
              <w:top w:val="nil"/>
              <w:left w:val="nil"/>
              <w:bottom w:val="nil"/>
              <w:right w:val="nil"/>
            </w:tcBorders>
            <w:shd w:val="clear" w:color="auto" w:fill="auto"/>
            <w:vAlign w:val="top"/>
          </w:tcPr>
          <w:p w14:paraId="161422EC">
            <w:pPr>
              <w:widowControl w:val="0"/>
              <w:snapToGrid w:val="0"/>
              <w:rPr>
                <w:rFonts w:hint="eastAsia" w:ascii="宋体" w:hAnsi="宋体" w:eastAsia="宋体"/>
                <w:lang w:val="en-US" w:eastAsia="zh-CN"/>
              </w:rPr>
            </w:pPr>
            <w:r>
              <w:rPr>
                <w:rFonts w:hint="eastAsia" w:ascii="宋体" w:hAnsi="宋体" w:eastAsia="宋体"/>
                <w:lang w:val="en-US" w:eastAsia="zh-CN"/>
              </w:rPr>
              <w:t>备注：</w:t>
            </w:r>
          </w:p>
          <w:p w14:paraId="78C6BB6D">
            <w:pPr>
              <w:widowControl w:val="0"/>
              <w:snapToGrid w:val="0"/>
              <w:jc w:val="both"/>
              <w:rPr>
                <w:rFonts w:hint="eastAsia" w:ascii="宋体" w:hAnsi="宋体" w:eastAsia="宋体"/>
                <w:lang w:val="en-US" w:eastAsia="zh-CN"/>
              </w:rPr>
            </w:pPr>
            <w:r>
              <w:rPr>
                <w:rFonts w:hint="eastAsia" w:ascii="宋体" w:hAnsi="宋体" w:eastAsia="宋体"/>
                <w:lang w:val="en-US" w:eastAsia="zh-CN"/>
              </w:rPr>
              <w:t>1、综合单价（</w:t>
            </w:r>
            <w:r>
              <w:rPr>
                <w:rFonts w:hint="eastAsia" w:ascii="Cambria" w:hAnsi="Cambria" w:eastAsia="Cambria" w:cs="宋体"/>
                <w:kern w:val="0"/>
                <w:sz w:val="24"/>
                <w:szCs w:val="24"/>
                <w:lang w:val="en-US" w:eastAsia="zh-CN" w:bidi="ar-SA"/>
              </w:rPr>
              <w:t>包括但不限于</w:t>
            </w:r>
            <w:r>
              <w:rPr>
                <w:rFonts w:hint="eastAsia" w:cs="宋体"/>
                <w:kern w:val="0"/>
                <w:sz w:val="24"/>
                <w:szCs w:val="24"/>
                <w:lang w:val="en-US" w:eastAsia="zh-CN" w:bidi="ar-SA"/>
              </w:rPr>
              <w:t>）为</w:t>
            </w:r>
            <w:r>
              <w:rPr>
                <w:rFonts w:hint="eastAsia" w:ascii="宋体" w:hAnsi="宋体" w:eastAsia="宋体"/>
                <w:lang w:val="en-US" w:eastAsia="zh-CN"/>
              </w:rPr>
              <w:t>人工费、材料费、机械费、脚手架、垂直运输、垃圾外运、成品保护费、安全文明施工费、规费、管理费、利润、税金等一切费用的综合全费用单价。</w:t>
            </w:r>
            <w:r>
              <w:rPr>
                <w:rFonts w:hint="eastAsia" w:ascii="宋体" w:hAnsi="宋体" w:eastAsia="宋体"/>
                <w:lang w:val="en-US" w:eastAsia="zh-CN"/>
              </w:rPr>
              <w:br w:type="textWrapping"/>
            </w:r>
            <w:r>
              <w:rPr>
                <w:rFonts w:hint="eastAsia" w:ascii="宋体" w:hAnsi="宋体" w:eastAsia="宋体"/>
                <w:lang w:val="en-US" w:eastAsia="zh-CN"/>
              </w:rPr>
              <w:t>2、要求考察现场，充分考虑各种不利因素，不得以不了解现场为由提出任何变更申请。</w:t>
            </w:r>
            <w:r>
              <w:rPr>
                <w:rFonts w:hint="eastAsia" w:ascii="宋体" w:hAnsi="宋体" w:eastAsia="宋体"/>
                <w:lang w:val="en-US" w:eastAsia="zh-CN"/>
              </w:rPr>
              <w:br w:type="textWrapping"/>
            </w:r>
            <w:r>
              <w:rPr>
                <w:rFonts w:hint="eastAsia" w:ascii="宋体" w:hAnsi="宋体" w:eastAsia="宋体"/>
                <w:lang w:val="en-US" w:eastAsia="zh-CN"/>
              </w:rPr>
              <w:t>3、售后响应时长：0.5小时内。出现重大问题，2小时内到达现场解决问题 。</w:t>
            </w:r>
          </w:p>
          <w:p w14:paraId="61583414">
            <w:pPr>
              <w:rPr>
                <w:rFonts w:hint="default"/>
                <w:lang w:val="en-US" w:eastAsia="zh-CN"/>
              </w:rPr>
            </w:pPr>
            <w:bookmarkStart w:id="0" w:name="_GoBack"/>
            <w:bookmarkEnd w:id="0"/>
          </w:p>
        </w:tc>
      </w:tr>
    </w:tbl>
    <w:p w14:paraId="1BC6998C">
      <w:pPr>
        <w:pStyle w:val="12"/>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86"/>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F056D4"/>
    <w:multiLevelType w:val="singleLevel"/>
    <w:tmpl w:val="F8F056D4"/>
    <w:lvl w:ilvl="0" w:tentative="0">
      <w:start w:val="1"/>
      <w:numFmt w:val="decimal"/>
      <w:suff w:val="nothing"/>
      <w:lvlText w:val="%1、"/>
      <w:lvlJc w:val="left"/>
    </w:lvl>
  </w:abstractNum>
  <w:abstractNum w:abstractNumId="1">
    <w:nsid w:val="1917694A"/>
    <w:multiLevelType w:val="singleLevel"/>
    <w:tmpl w:val="1917694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kYzNlZDVmZWU5YzY0ZDNjMTYzMzJiMmRjMTFkNjQifQ=="/>
    <w:docVar w:name="KSO_WPS_MARK_KEY" w:val="aa3381bc-7b21-405d-b03c-d64cf2f9b256"/>
  </w:docVars>
  <w:rsids>
    <w:rsidRoot w:val="00000000"/>
    <w:rsid w:val="00D746F4"/>
    <w:rsid w:val="02D92666"/>
    <w:rsid w:val="031A67DB"/>
    <w:rsid w:val="04C5285F"/>
    <w:rsid w:val="04D540DA"/>
    <w:rsid w:val="07AE036B"/>
    <w:rsid w:val="0B074CA6"/>
    <w:rsid w:val="0C210BDA"/>
    <w:rsid w:val="0D6A5F39"/>
    <w:rsid w:val="0EB9334C"/>
    <w:rsid w:val="0ED33D1D"/>
    <w:rsid w:val="0FB748D6"/>
    <w:rsid w:val="10C85AC8"/>
    <w:rsid w:val="133B7B67"/>
    <w:rsid w:val="1606444F"/>
    <w:rsid w:val="19B36D72"/>
    <w:rsid w:val="1DA10BA9"/>
    <w:rsid w:val="1FE32494"/>
    <w:rsid w:val="21845A3B"/>
    <w:rsid w:val="2E73662C"/>
    <w:rsid w:val="340F73E6"/>
    <w:rsid w:val="35075CD2"/>
    <w:rsid w:val="3A52002D"/>
    <w:rsid w:val="43397FDC"/>
    <w:rsid w:val="4662784A"/>
    <w:rsid w:val="4D497E70"/>
    <w:rsid w:val="5034117B"/>
    <w:rsid w:val="53557173"/>
    <w:rsid w:val="5BC77759"/>
    <w:rsid w:val="5E5E2B95"/>
    <w:rsid w:val="62D27BAF"/>
    <w:rsid w:val="6522735A"/>
    <w:rsid w:val="66FB3482"/>
    <w:rsid w:val="670B68C2"/>
    <w:rsid w:val="67B37AAD"/>
    <w:rsid w:val="70F61D6C"/>
    <w:rsid w:val="797057FE"/>
    <w:rsid w:val="79EB7030"/>
    <w:rsid w:val="7A1F1ADA"/>
  </w:rsids>
  <m:mathPr>
    <m:mathFont m:val="Lucida Grande"/>
    <m:brkBin m:val="before"/>
    <m:brkBinSub m:val="--"/>
    <m:smallFrac m:val="0"/>
    <m:dispDef/>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qFormat="1" w:unhideWhenUsed="0" w:uiPriority="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qFormat="1" w:unhideWhenUsed="0" w:uiPriority="0" w:semiHidden="0" w:name="caption"/>
    <w:lsdException w:unhideWhenUsed="0" w:uiPriority="99" w:semiHidden="0" w:name="table of figures"/>
    <w:lsdException w:unhideWhenUsed="0" w:uiPriority="99" w:semiHidden="0" w:name="envelope address"/>
    <w:lsdException w:unhideWhenUsed="0" w:uiPriority="99" w:semiHidden="0" w:name="envelope return"/>
    <w:lsdException w:qFormat="1" w:unhideWhenUsed="0" w:uiPriority="0"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qFormat="1" w:unhideWhenUsed="0" w:uiPriority="0" w:semiHidden="0" w:name="Title"/>
    <w:lsdException w:unhideWhenUsed="0" w:uiPriority="99" w:semiHidden="0" w:name="Closing"/>
    <w:lsdException w:unhideWhenUsed="0" w:uiPriority="99" w:semiHidden="0" w:name="Signature"/>
    <w:lsdException w:qFormat="1" w:unhideWhenUsed="0" w:uiPriority="0" w:semiHidden="0" w:name="Default Paragraph Font"/>
    <w:lsdException w:qFormat="1" w:unhideWhenUsed="0" w:uiPriority="0"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qFormat="1" w:unhideWhenUsed="0" w:uiPriority="0" w:semiHidden="0" w:name="Subtitle"/>
    <w:lsdException w:unhideWhenUsed="0" w:uiPriority="99" w:semiHidden="0" w:name="Salutation"/>
    <w:lsdException w:qFormat="1" w:unhideWhenUsed="0" w:uiPriority="0"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qFormat="1" w:unhideWhenUsed="0" w:uiPriority="9" w:semiHidden="0" w:name="Block Text"/>
    <w:lsdException w:qFormat="1" w:unhideWhenUsed="0" w:uiPriority="0"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qFormat="1"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semiHidden="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Cambria" w:hAnsi="Cambria" w:eastAsia="Cambria" w:cs="宋体"/>
      <w:sz w:val="24"/>
      <w:szCs w:val="24"/>
      <w:lang w:val="en-US" w:eastAsia="en-US" w:bidi="ar-SA"/>
    </w:rPr>
  </w:style>
  <w:style w:type="paragraph" w:styleId="2">
    <w:name w:val="heading 1"/>
    <w:basedOn w:val="1"/>
    <w:next w:val="1"/>
    <w:qFormat/>
    <w:uiPriority w:val="9"/>
    <w:pPr>
      <w:keepNext/>
      <w:keepLines/>
      <w:spacing w:before="480" w:after="0"/>
      <w:outlineLvl w:val="0"/>
    </w:pPr>
    <w:rPr>
      <w:rFonts w:ascii="Calibri" w:hAnsi="Calibri" w:eastAsia="宋体" w:cs="宋体"/>
      <w:b/>
      <w:bCs/>
      <w:color w:val="345B8A"/>
      <w:sz w:val="32"/>
      <w:szCs w:val="32"/>
    </w:rPr>
  </w:style>
  <w:style w:type="paragraph" w:styleId="3">
    <w:name w:val="heading 2"/>
    <w:basedOn w:val="1"/>
    <w:next w:val="1"/>
    <w:qFormat/>
    <w:uiPriority w:val="9"/>
    <w:pPr>
      <w:keepNext/>
      <w:keepLines/>
      <w:spacing w:before="200" w:after="0"/>
      <w:outlineLvl w:val="1"/>
    </w:pPr>
    <w:rPr>
      <w:rFonts w:ascii="Calibri" w:hAnsi="Calibri" w:eastAsia="宋体" w:cs="宋体"/>
      <w:b/>
      <w:bCs/>
      <w:color w:val="4F81BD"/>
      <w:sz w:val="32"/>
      <w:szCs w:val="32"/>
    </w:rPr>
  </w:style>
  <w:style w:type="paragraph" w:styleId="4">
    <w:name w:val="heading 3"/>
    <w:basedOn w:val="1"/>
    <w:next w:val="1"/>
    <w:qFormat/>
    <w:uiPriority w:val="9"/>
    <w:pPr>
      <w:keepNext/>
      <w:keepLines/>
      <w:spacing w:before="200" w:after="0"/>
      <w:outlineLvl w:val="2"/>
    </w:pPr>
    <w:rPr>
      <w:rFonts w:ascii="Calibri" w:hAnsi="Calibri" w:eastAsia="宋体" w:cs="宋体"/>
      <w:b/>
      <w:bCs/>
      <w:color w:val="4F81BD"/>
      <w:sz w:val="28"/>
      <w:szCs w:val="28"/>
    </w:rPr>
  </w:style>
  <w:style w:type="paragraph" w:styleId="5">
    <w:name w:val="heading 4"/>
    <w:basedOn w:val="1"/>
    <w:next w:val="1"/>
    <w:qFormat/>
    <w:uiPriority w:val="9"/>
    <w:pPr>
      <w:keepNext/>
      <w:keepLines/>
      <w:spacing w:before="200" w:after="0"/>
      <w:outlineLvl w:val="3"/>
    </w:pPr>
    <w:rPr>
      <w:rFonts w:ascii="Calibri" w:hAnsi="Calibri" w:eastAsia="宋体" w:cs="宋体"/>
      <w:b/>
      <w:bCs/>
      <w:color w:val="4F81BD"/>
      <w:sz w:val="24"/>
      <w:szCs w:val="24"/>
    </w:rPr>
  </w:style>
  <w:style w:type="paragraph" w:styleId="6">
    <w:name w:val="heading 5"/>
    <w:basedOn w:val="1"/>
    <w:next w:val="1"/>
    <w:qFormat/>
    <w:uiPriority w:val="9"/>
    <w:pPr>
      <w:keepNext/>
      <w:keepLines/>
      <w:spacing w:before="200" w:after="0"/>
      <w:outlineLvl w:val="4"/>
    </w:pPr>
    <w:rPr>
      <w:rFonts w:ascii="Calibri" w:hAnsi="Calibri" w:eastAsia="宋体" w:cs="宋体"/>
      <w:i/>
      <w:iCs/>
      <w:color w:val="4F81BD"/>
      <w:sz w:val="24"/>
      <w:szCs w:val="24"/>
    </w:rPr>
  </w:style>
  <w:style w:type="paragraph" w:styleId="7">
    <w:name w:val="heading 6"/>
    <w:basedOn w:val="1"/>
    <w:next w:val="1"/>
    <w:qFormat/>
    <w:uiPriority w:val="9"/>
    <w:pPr>
      <w:keepNext/>
      <w:keepLines/>
      <w:spacing w:before="200" w:after="0"/>
      <w:outlineLvl w:val="5"/>
    </w:pPr>
    <w:rPr>
      <w:rFonts w:ascii="Calibri" w:hAnsi="Calibri" w:eastAsia="宋体" w:cs="宋体"/>
      <w:color w:val="4F81BD"/>
      <w:sz w:val="24"/>
      <w:szCs w:val="24"/>
    </w:rPr>
  </w:style>
  <w:style w:type="paragraph" w:styleId="8">
    <w:name w:val="heading 7"/>
    <w:basedOn w:val="1"/>
    <w:next w:val="1"/>
    <w:qFormat/>
    <w:uiPriority w:val="9"/>
    <w:pPr>
      <w:keepNext/>
      <w:keepLines/>
      <w:spacing w:before="200" w:after="0"/>
      <w:outlineLvl w:val="6"/>
    </w:pPr>
    <w:rPr>
      <w:rFonts w:ascii="Calibri" w:hAnsi="Calibri" w:eastAsia="宋体" w:cs="宋体"/>
      <w:color w:val="4F81BD"/>
      <w:sz w:val="24"/>
      <w:szCs w:val="24"/>
    </w:rPr>
  </w:style>
  <w:style w:type="paragraph" w:styleId="9">
    <w:name w:val="heading 8"/>
    <w:basedOn w:val="1"/>
    <w:next w:val="1"/>
    <w:qFormat/>
    <w:uiPriority w:val="9"/>
    <w:pPr>
      <w:keepNext/>
      <w:keepLines/>
      <w:spacing w:before="200" w:after="0"/>
      <w:outlineLvl w:val="7"/>
    </w:pPr>
    <w:rPr>
      <w:rFonts w:ascii="Calibri" w:hAnsi="Calibri" w:eastAsia="宋体" w:cs="宋体"/>
      <w:color w:val="4F81BD"/>
      <w:sz w:val="24"/>
      <w:szCs w:val="24"/>
    </w:rPr>
  </w:style>
  <w:style w:type="paragraph" w:styleId="10">
    <w:name w:val="heading 9"/>
    <w:basedOn w:val="1"/>
    <w:next w:val="1"/>
    <w:qFormat/>
    <w:uiPriority w:val="9"/>
    <w:pPr>
      <w:keepNext/>
      <w:keepLines/>
      <w:spacing w:before="200" w:after="0"/>
      <w:outlineLvl w:val="8"/>
    </w:pPr>
    <w:rPr>
      <w:rFonts w:ascii="Calibri" w:hAnsi="Calibri" w:eastAsia="宋体" w:cs="宋体"/>
      <w:color w:val="4F81BD"/>
      <w:sz w:val="24"/>
      <w:szCs w:val="24"/>
    </w:rPr>
  </w:style>
  <w:style w:type="character" w:default="1" w:styleId="21">
    <w:name w:val="Default Paragraph Font"/>
    <w:qFormat/>
    <w:uiPriority w:val="0"/>
  </w:style>
  <w:style w:type="table" w:default="1" w:styleId="19">
    <w:name w:val="Normal Table"/>
    <w:qFormat/>
    <w:uiPriority w:val="0"/>
    <w:tblPr>
      <w:tblCellMar>
        <w:top w:w="0" w:type="dxa"/>
        <w:left w:w="108" w:type="dxa"/>
        <w:bottom w:w="0" w:type="dxa"/>
        <w:right w:w="108" w:type="dxa"/>
      </w:tblCellMar>
    </w:tblPr>
  </w:style>
  <w:style w:type="paragraph" w:styleId="11">
    <w:name w:val="caption"/>
    <w:basedOn w:val="1"/>
    <w:next w:val="1"/>
    <w:qFormat/>
    <w:uiPriority w:val="0"/>
    <w:pPr>
      <w:spacing w:before="0" w:after="120"/>
    </w:pPr>
    <w:rPr>
      <w:i/>
    </w:rPr>
  </w:style>
  <w:style w:type="paragraph" w:styleId="12">
    <w:name w:val="Body Text"/>
    <w:basedOn w:val="1"/>
    <w:link w:val="23"/>
    <w:qFormat/>
    <w:uiPriority w:val="0"/>
    <w:pPr>
      <w:spacing w:before="180" w:after="180"/>
    </w:pPr>
  </w:style>
  <w:style w:type="paragraph" w:styleId="13">
    <w:name w:val="Block Text"/>
    <w:basedOn w:val="12"/>
    <w:qFormat/>
    <w:uiPriority w:val="9"/>
    <w:pPr>
      <w:spacing w:before="100" w:after="100"/>
      <w:ind w:firstLine="0"/>
    </w:pPr>
    <w:rPr>
      <w:rFonts w:ascii="Calibri" w:hAnsi="Calibri" w:eastAsia="宋体" w:cs="宋体"/>
      <w:bCs/>
      <w:sz w:val="20"/>
      <w:szCs w:val="20"/>
    </w:rPr>
  </w:style>
  <w:style w:type="paragraph" w:styleId="14">
    <w:name w:val="Date"/>
    <w:next w:val="1"/>
    <w:qFormat/>
    <w:uiPriority w:val="0"/>
    <w:pPr>
      <w:keepNext/>
      <w:keepLines/>
      <w:spacing w:after="200"/>
      <w:jc w:val="center"/>
    </w:pPr>
    <w:rPr>
      <w:rFonts w:ascii="Cambria" w:hAnsi="Cambria" w:eastAsia="Cambria" w:cs="宋体"/>
      <w:sz w:val="24"/>
      <w:szCs w:val="24"/>
      <w:lang w:val="en-US" w:eastAsia="en-US" w:bidi="ar-SA"/>
    </w:rPr>
  </w:style>
  <w:style w:type="paragraph" w:styleId="15">
    <w:name w:val="Subtitle"/>
    <w:basedOn w:val="16"/>
    <w:qFormat/>
    <w:uiPriority w:val="0"/>
    <w:pPr>
      <w:keepNext/>
      <w:keepLines/>
      <w:spacing w:before="240" w:after="240"/>
      <w:jc w:val="center"/>
    </w:pPr>
    <w:rPr>
      <w:sz w:val="30"/>
      <w:szCs w:val="30"/>
    </w:rPr>
  </w:style>
  <w:style w:type="paragraph" w:styleId="16">
    <w:name w:val="Title"/>
    <w:basedOn w:val="1"/>
    <w:qFormat/>
    <w:uiPriority w:val="0"/>
    <w:pPr>
      <w:keepNext/>
      <w:keepLines/>
      <w:spacing w:before="480" w:after="240"/>
      <w:jc w:val="center"/>
    </w:pPr>
    <w:rPr>
      <w:rFonts w:ascii="Calibri" w:hAnsi="Calibri" w:eastAsia="宋体" w:cs="宋体"/>
      <w:b/>
      <w:bCs/>
      <w:color w:val="345B8A"/>
      <w:sz w:val="36"/>
      <w:szCs w:val="36"/>
    </w:rPr>
  </w:style>
  <w:style w:type="paragraph" w:styleId="17">
    <w:name w:val="footnote text"/>
    <w:basedOn w:val="1"/>
    <w:qFormat/>
    <w:uiPriority w:val="9"/>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3"/>
    <w:qFormat/>
    <w:uiPriority w:val="0"/>
    <w:rPr>
      <w:color w:val="4F81BD"/>
    </w:rPr>
  </w:style>
  <w:style w:type="character" w:customStyle="1" w:styleId="23">
    <w:name w:val="Body Text Char"/>
    <w:basedOn w:val="21"/>
    <w:link w:val="12"/>
    <w:qFormat/>
    <w:uiPriority w:val="0"/>
  </w:style>
  <w:style w:type="character" w:styleId="24">
    <w:name w:val="footnote reference"/>
    <w:basedOn w:val="23"/>
    <w:qFormat/>
    <w:uiPriority w:val="0"/>
    <w:rPr>
      <w:vertAlign w:val="superscript"/>
    </w:rPr>
  </w:style>
  <w:style w:type="paragraph" w:customStyle="1" w:styleId="25">
    <w:name w:val="First Paragraph"/>
    <w:basedOn w:val="12"/>
    <w:qFormat/>
    <w:uiPriority w:val="0"/>
  </w:style>
  <w:style w:type="paragraph" w:customStyle="1" w:styleId="26">
    <w:name w:val="Compact"/>
    <w:basedOn w:val="12"/>
    <w:qFormat/>
    <w:uiPriority w:val="0"/>
    <w:pPr>
      <w:spacing w:before="36" w:after="36"/>
    </w:pPr>
  </w:style>
  <w:style w:type="paragraph" w:customStyle="1" w:styleId="27">
    <w:name w:val="Author"/>
    <w:qFormat/>
    <w:uiPriority w:val="0"/>
    <w:pPr>
      <w:keepNext/>
      <w:keepLines/>
      <w:spacing w:after="200"/>
      <w:jc w:val="center"/>
    </w:pPr>
    <w:rPr>
      <w:rFonts w:ascii="Cambria" w:hAnsi="Cambria" w:eastAsia="Cambria" w:cs="宋体"/>
      <w:sz w:val="24"/>
      <w:szCs w:val="24"/>
      <w:lang w:val="en-US" w:eastAsia="en-US" w:bidi="ar-SA"/>
    </w:rPr>
  </w:style>
  <w:style w:type="paragraph" w:customStyle="1" w:styleId="28">
    <w:name w:val="Abstract"/>
    <w:basedOn w:val="1"/>
    <w:qFormat/>
    <w:uiPriority w:val="0"/>
    <w:pPr>
      <w:keepNext/>
      <w:keepLines/>
      <w:spacing w:before="300" w:after="300"/>
    </w:pPr>
    <w:rPr>
      <w:sz w:val="20"/>
      <w:szCs w:val="20"/>
    </w:rPr>
  </w:style>
  <w:style w:type="paragraph" w:customStyle="1" w:styleId="29">
    <w:name w:val="Bibliography_5172ca9e-b632-488b-a415-45c9b72e773a"/>
    <w:basedOn w:val="1"/>
    <w:qFormat/>
    <w:uiPriority w:val="0"/>
  </w:style>
  <w:style w:type="table" w:customStyle="1" w:styleId="30">
    <w:name w:val="Table"/>
    <w:qFormat/>
    <w:uiPriority w:val="0"/>
    <w:tblPr>
      <w:tblCellMar>
        <w:top w:w="0" w:type="dxa"/>
        <w:left w:w="108" w:type="dxa"/>
        <w:bottom w:w="0" w:type="dxa"/>
        <w:right w:w="108" w:type="dxa"/>
      </w:tblCellMar>
    </w:tblPr>
  </w:style>
  <w:style w:type="paragraph" w:customStyle="1" w:styleId="31">
    <w:name w:val="Definition Term"/>
    <w:basedOn w:val="1"/>
    <w:qFormat/>
    <w:uiPriority w:val="0"/>
    <w:pPr>
      <w:keepNext/>
      <w:keepLines/>
      <w:spacing w:after="0"/>
    </w:pPr>
    <w:rPr>
      <w:b/>
    </w:rPr>
  </w:style>
  <w:style w:type="paragraph" w:customStyle="1" w:styleId="32">
    <w:name w:val="Definition"/>
    <w:basedOn w:val="1"/>
    <w:qFormat/>
    <w:uiPriority w:val="0"/>
  </w:style>
  <w:style w:type="paragraph" w:customStyle="1" w:styleId="33">
    <w:name w:val="Table Caption"/>
    <w:basedOn w:val="11"/>
    <w:qFormat/>
    <w:uiPriority w:val="0"/>
    <w:pPr>
      <w:keepNext/>
    </w:pPr>
  </w:style>
  <w:style w:type="paragraph" w:customStyle="1" w:styleId="34">
    <w:name w:val="Image Caption"/>
    <w:basedOn w:val="11"/>
    <w:qFormat/>
    <w:uiPriority w:val="0"/>
  </w:style>
  <w:style w:type="paragraph" w:customStyle="1" w:styleId="35">
    <w:name w:val="Figure"/>
    <w:basedOn w:val="1"/>
    <w:qFormat/>
    <w:uiPriority w:val="0"/>
  </w:style>
  <w:style w:type="paragraph" w:customStyle="1" w:styleId="36">
    <w:name w:val="Captioned Figure"/>
    <w:basedOn w:val="35"/>
    <w:qFormat/>
    <w:uiPriority w:val="0"/>
    <w:pPr>
      <w:keepNext/>
    </w:pPr>
  </w:style>
  <w:style w:type="character" w:customStyle="1" w:styleId="37">
    <w:name w:val="Verbatim Char"/>
    <w:basedOn w:val="23"/>
    <w:link w:val="38"/>
    <w:qFormat/>
    <w:uiPriority w:val="0"/>
    <w:rPr>
      <w:rFonts w:ascii="Consolas" w:hAnsi="Consolas"/>
      <w:sz w:val="22"/>
    </w:rPr>
  </w:style>
  <w:style w:type="paragraph" w:customStyle="1" w:styleId="38">
    <w:name w:val="Source Code"/>
    <w:basedOn w:val="1"/>
    <w:link w:val="37"/>
    <w:qFormat/>
    <w:uiPriority w:val="0"/>
    <w:pPr>
      <w:wordWrap w:val="0"/>
    </w:pPr>
  </w:style>
  <w:style w:type="paragraph" w:customStyle="1" w:styleId="39">
    <w:name w:val="TOC Heading_8e4ae27b-cd70-4003-b997-04f0bb8be9d6"/>
    <w:basedOn w:val="2"/>
    <w:qFormat/>
    <w:uiPriority w:val="39"/>
    <w:pPr>
      <w:spacing w:before="240" w:line="259" w:lineRule="auto"/>
      <w:outlineLvl w:val="9"/>
    </w:pPr>
    <w:rPr>
      <w:rFonts w:ascii="Calibri" w:hAnsi="Calibri" w:eastAsia="宋体" w:cs="宋体"/>
      <w:b w:val="0"/>
      <w:bCs w:val="0"/>
      <w:color w:val="376092"/>
    </w:rPr>
  </w:style>
  <w:style w:type="character" w:customStyle="1" w:styleId="40">
    <w:name w:val="KeywordTok"/>
    <w:basedOn w:val="37"/>
    <w:qFormat/>
    <w:uiPriority w:val="0"/>
    <w:rPr>
      <w:b/>
      <w:color w:val="007020"/>
    </w:rPr>
  </w:style>
  <w:style w:type="character" w:customStyle="1" w:styleId="41">
    <w:name w:val="DataTypeTok"/>
    <w:basedOn w:val="37"/>
    <w:qFormat/>
    <w:uiPriority w:val="0"/>
    <w:rPr>
      <w:color w:val="902000"/>
    </w:rPr>
  </w:style>
  <w:style w:type="character" w:customStyle="1" w:styleId="42">
    <w:name w:val="DecValTok"/>
    <w:basedOn w:val="37"/>
    <w:qFormat/>
    <w:uiPriority w:val="0"/>
    <w:rPr>
      <w:color w:val="40A070"/>
    </w:rPr>
  </w:style>
  <w:style w:type="character" w:customStyle="1" w:styleId="43">
    <w:name w:val="BaseNTok"/>
    <w:basedOn w:val="37"/>
    <w:qFormat/>
    <w:uiPriority w:val="0"/>
    <w:rPr>
      <w:color w:val="40A070"/>
    </w:rPr>
  </w:style>
  <w:style w:type="character" w:customStyle="1" w:styleId="44">
    <w:name w:val="FloatTok"/>
    <w:basedOn w:val="37"/>
    <w:qFormat/>
    <w:uiPriority w:val="0"/>
    <w:rPr>
      <w:color w:val="40A070"/>
    </w:rPr>
  </w:style>
  <w:style w:type="character" w:customStyle="1" w:styleId="45">
    <w:name w:val="ConstantTok"/>
    <w:basedOn w:val="37"/>
    <w:qFormat/>
    <w:uiPriority w:val="0"/>
    <w:rPr>
      <w:color w:val="880000"/>
    </w:rPr>
  </w:style>
  <w:style w:type="character" w:customStyle="1" w:styleId="46">
    <w:name w:val="CharTok"/>
    <w:basedOn w:val="37"/>
    <w:qFormat/>
    <w:uiPriority w:val="0"/>
    <w:rPr>
      <w:color w:val="4070A0"/>
    </w:rPr>
  </w:style>
  <w:style w:type="character" w:customStyle="1" w:styleId="47">
    <w:name w:val="SpecialCharTok"/>
    <w:basedOn w:val="37"/>
    <w:qFormat/>
    <w:uiPriority w:val="0"/>
    <w:rPr>
      <w:color w:val="4070A0"/>
    </w:rPr>
  </w:style>
  <w:style w:type="character" w:customStyle="1" w:styleId="48">
    <w:name w:val="StringTok"/>
    <w:basedOn w:val="37"/>
    <w:qFormat/>
    <w:uiPriority w:val="0"/>
    <w:rPr>
      <w:color w:val="4070A0"/>
    </w:rPr>
  </w:style>
  <w:style w:type="character" w:customStyle="1" w:styleId="49">
    <w:name w:val="VerbatimStringTok"/>
    <w:basedOn w:val="37"/>
    <w:qFormat/>
    <w:uiPriority w:val="0"/>
    <w:rPr>
      <w:color w:val="4070A0"/>
    </w:rPr>
  </w:style>
  <w:style w:type="character" w:customStyle="1" w:styleId="50">
    <w:name w:val="SpecialStringTok"/>
    <w:basedOn w:val="37"/>
    <w:qFormat/>
    <w:uiPriority w:val="0"/>
    <w:rPr>
      <w:color w:val="BB6688"/>
    </w:rPr>
  </w:style>
  <w:style w:type="character" w:customStyle="1" w:styleId="51">
    <w:name w:val="ImportTok"/>
    <w:basedOn w:val="37"/>
    <w:qFormat/>
    <w:uiPriority w:val="0"/>
  </w:style>
  <w:style w:type="character" w:customStyle="1" w:styleId="52">
    <w:name w:val="CommentTok"/>
    <w:basedOn w:val="37"/>
    <w:qFormat/>
    <w:uiPriority w:val="0"/>
    <w:rPr>
      <w:i/>
      <w:color w:val="60A0B0"/>
    </w:rPr>
  </w:style>
  <w:style w:type="character" w:customStyle="1" w:styleId="53">
    <w:name w:val="DocumentationTok"/>
    <w:basedOn w:val="37"/>
    <w:qFormat/>
    <w:uiPriority w:val="0"/>
    <w:rPr>
      <w:i/>
      <w:color w:val="BA2121"/>
    </w:rPr>
  </w:style>
  <w:style w:type="character" w:customStyle="1" w:styleId="54">
    <w:name w:val="AnnotationTok"/>
    <w:basedOn w:val="37"/>
    <w:qFormat/>
    <w:uiPriority w:val="0"/>
    <w:rPr>
      <w:b/>
      <w:i/>
      <w:color w:val="60A0B0"/>
    </w:rPr>
  </w:style>
  <w:style w:type="character" w:customStyle="1" w:styleId="55">
    <w:name w:val="CommentVarTok"/>
    <w:basedOn w:val="37"/>
    <w:qFormat/>
    <w:uiPriority w:val="0"/>
    <w:rPr>
      <w:b/>
      <w:i/>
      <w:color w:val="60A0B0"/>
    </w:rPr>
  </w:style>
  <w:style w:type="character" w:customStyle="1" w:styleId="56">
    <w:name w:val="OtherTok"/>
    <w:basedOn w:val="37"/>
    <w:qFormat/>
    <w:uiPriority w:val="0"/>
    <w:rPr>
      <w:color w:val="007020"/>
    </w:rPr>
  </w:style>
  <w:style w:type="character" w:customStyle="1" w:styleId="57">
    <w:name w:val="FunctionTok"/>
    <w:basedOn w:val="37"/>
    <w:qFormat/>
    <w:uiPriority w:val="0"/>
    <w:rPr>
      <w:color w:val="06287E"/>
    </w:rPr>
  </w:style>
  <w:style w:type="character" w:customStyle="1" w:styleId="58">
    <w:name w:val="VariableTok"/>
    <w:basedOn w:val="37"/>
    <w:qFormat/>
    <w:uiPriority w:val="0"/>
    <w:rPr>
      <w:color w:val="19177C"/>
    </w:rPr>
  </w:style>
  <w:style w:type="character" w:customStyle="1" w:styleId="59">
    <w:name w:val="ControlFlowTok"/>
    <w:basedOn w:val="37"/>
    <w:qFormat/>
    <w:uiPriority w:val="0"/>
    <w:rPr>
      <w:b/>
      <w:color w:val="007020"/>
    </w:rPr>
  </w:style>
  <w:style w:type="character" w:customStyle="1" w:styleId="60">
    <w:name w:val="OperatorTok"/>
    <w:basedOn w:val="37"/>
    <w:qFormat/>
    <w:uiPriority w:val="0"/>
    <w:rPr>
      <w:color w:val="666666"/>
    </w:rPr>
  </w:style>
  <w:style w:type="character" w:customStyle="1" w:styleId="61">
    <w:name w:val="BuiltInTok"/>
    <w:basedOn w:val="37"/>
    <w:qFormat/>
    <w:uiPriority w:val="0"/>
  </w:style>
  <w:style w:type="character" w:customStyle="1" w:styleId="62">
    <w:name w:val="ExtensionTok"/>
    <w:basedOn w:val="37"/>
    <w:qFormat/>
    <w:uiPriority w:val="0"/>
  </w:style>
  <w:style w:type="character" w:customStyle="1" w:styleId="63">
    <w:name w:val="PreprocessorTok"/>
    <w:basedOn w:val="37"/>
    <w:qFormat/>
    <w:uiPriority w:val="0"/>
    <w:rPr>
      <w:color w:val="BC7A00"/>
    </w:rPr>
  </w:style>
  <w:style w:type="character" w:customStyle="1" w:styleId="64">
    <w:name w:val="AttributeTok"/>
    <w:basedOn w:val="37"/>
    <w:qFormat/>
    <w:uiPriority w:val="0"/>
    <w:rPr>
      <w:color w:val="7D9029"/>
    </w:rPr>
  </w:style>
  <w:style w:type="character" w:customStyle="1" w:styleId="65">
    <w:name w:val="RegionMarkerTok"/>
    <w:basedOn w:val="37"/>
    <w:qFormat/>
    <w:uiPriority w:val="0"/>
  </w:style>
  <w:style w:type="character" w:customStyle="1" w:styleId="66">
    <w:name w:val="InformationTok"/>
    <w:basedOn w:val="37"/>
    <w:qFormat/>
    <w:uiPriority w:val="0"/>
    <w:rPr>
      <w:b/>
      <w:i/>
      <w:color w:val="60A0B0"/>
    </w:rPr>
  </w:style>
  <w:style w:type="character" w:customStyle="1" w:styleId="67">
    <w:name w:val="WarningTok"/>
    <w:basedOn w:val="37"/>
    <w:qFormat/>
    <w:uiPriority w:val="0"/>
    <w:rPr>
      <w:b/>
      <w:i/>
      <w:color w:val="60A0B0"/>
    </w:rPr>
  </w:style>
  <w:style w:type="character" w:customStyle="1" w:styleId="68">
    <w:name w:val="AlertTok"/>
    <w:basedOn w:val="37"/>
    <w:qFormat/>
    <w:uiPriority w:val="0"/>
    <w:rPr>
      <w:b/>
      <w:color w:val="FF0000"/>
    </w:rPr>
  </w:style>
  <w:style w:type="character" w:customStyle="1" w:styleId="69">
    <w:name w:val="ErrorTok"/>
    <w:basedOn w:val="37"/>
    <w:qFormat/>
    <w:uiPriority w:val="0"/>
    <w:rPr>
      <w:b/>
      <w:color w:val="FF0000"/>
    </w:rPr>
  </w:style>
  <w:style w:type="character" w:customStyle="1" w:styleId="70">
    <w:name w:val="NormalTok"/>
    <w:basedOn w:val="37"/>
    <w:qFormat/>
    <w:uiPriority w:val="0"/>
  </w:style>
  <w:style w:type="character" w:customStyle="1" w:styleId="71">
    <w:name w:val="font91"/>
    <w:basedOn w:val="21"/>
    <w:qFormat/>
    <w:uiPriority w:val="0"/>
    <w:rPr>
      <w:rFonts w:hint="eastAsia" w:ascii="宋体" w:hAnsi="宋体" w:eastAsia="宋体" w:cs="宋体"/>
      <w:color w:val="000000"/>
      <w:sz w:val="20"/>
      <w:szCs w:val="20"/>
      <w:u w:val="none"/>
    </w:rPr>
  </w:style>
  <w:style w:type="character" w:customStyle="1" w:styleId="72">
    <w:name w:val="font71"/>
    <w:basedOn w:val="21"/>
    <w:qFormat/>
    <w:uiPriority w:val="0"/>
    <w:rPr>
      <w:rFonts w:hint="eastAsia" w:ascii="仿宋" w:hAnsi="仿宋" w:eastAsia="仿宋" w:cs="仿宋"/>
      <w:color w:val="000000"/>
      <w:sz w:val="20"/>
      <w:szCs w:val="20"/>
      <w:u w:val="none"/>
    </w:rPr>
  </w:style>
  <w:style w:type="character" w:customStyle="1" w:styleId="73">
    <w:name w:val="font101"/>
    <w:basedOn w:val="21"/>
    <w:qFormat/>
    <w:uiPriority w:val="0"/>
    <w:rPr>
      <w:rFonts w:hint="default" w:ascii="Times New Roman" w:hAnsi="Times New Roman" w:cs="Times New Roman"/>
      <w:color w:val="000000"/>
      <w:sz w:val="20"/>
      <w:szCs w:val="20"/>
      <w:u w:val="none"/>
    </w:rPr>
  </w:style>
  <w:style w:type="character" w:customStyle="1" w:styleId="74">
    <w:name w:val="font41"/>
    <w:basedOn w:val="21"/>
    <w:qFormat/>
    <w:uiPriority w:val="0"/>
    <w:rPr>
      <w:rFonts w:hint="default" w:ascii="Times New Roman" w:hAnsi="Times New Roman" w:cs="Times New Roman"/>
      <w:color w:val="000000"/>
      <w:sz w:val="20"/>
      <w:szCs w:val="20"/>
      <w:u w:val="none"/>
    </w:rPr>
  </w:style>
  <w:style w:type="character" w:customStyle="1" w:styleId="75">
    <w:name w:val="font112"/>
    <w:basedOn w:val="21"/>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765</Words>
  <Characters>775</Characters>
  <Lines>0</Lines>
  <Paragraphs>111</Paragraphs>
  <TotalTime>5</TotalTime>
  <ScaleCrop>false</ScaleCrop>
  <LinksUpToDate>false</LinksUpToDate>
  <CharactersWithSpaces>781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2024-07-15T08:37:00Z</dcterms:created>
  <dc:creator>袁森</dc:creator>
  <cp:lastModifiedBy>风再起时</cp:lastModifiedBy>
  <cp:lastPrinted>2026-08-05T00:30:56Z</cp:lastPrinted>
  <dcterms:modified xsi:type="dcterms:W3CDTF">2026-08-05T00:31:29Z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rer">
    <vt:lpwstr>never</vt:lpwstr>
  </property>
  <property fmtid="{D5CDD505-2E9C-101B-9397-08002B2CF9AE}" pid="3" name="KSOProductBuildVer">
    <vt:lpwstr>2052-12.1.0.28043</vt:lpwstr>
  </property>
  <property fmtid="{D5CDD505-2E9C-101B-9397-08002B2CF9AE}" pid="4" name="ICV">
    <vt:lpwstr>ED5AA2956E53417B9AE7A440DFA47158_13</vt:lpwstr>
  </property>
  <property fmtid="{D5CDD505-2E9C-101B-9397-08002B2CF9AE}" pid="5" name="KSOTemplateDocerSaveRecord">
    <vt:lpwstr>eyJoZGlkIjoiMjI1MDExMmE4YWM3MmUzOWQyM2FkNDI3NzgzZjU4ZGQiLCJ1c2VySWQiOiIxMjAzMzYzMTExIn0=</vt:lpwstr>
  </property>
</Properties>
</file>